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66" w:rsidRDefault="00FD424A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离心泵</w:t>
      </w:r>
      <w:r w:rsidR="00B11E94" w:rsidRPr="00B11E94">
        <w:rPr>
          <w:rFonts w:ascii="宋体" w:eastAsia="宋体" w:hAnsi="宋体" w:cs="宋体" w:hint="eastAsia"/>
          <w:sz w:val="30"/>
          <w:szCs w:val="30"/>
        </w:rPr>
        <w:t>MiECC</w:t>
      </w:r>
      <w:r w:rsidR="00A94D0D">
        <w:rPr>
          <w:rFonts w:ascii="宋体" w:eastAsia="宋体" w:hAnsi="宋体" w:cs="宋体" w:hint="eastAsia"/>
          <w:sz w:val="30"/>
          <w:szCs w:val="30"/>
        </w:rPr>
        <w:t>在小儿先心外科手术应用的初步经验</w:t>
      </w:r>
    </w:p>
    <w:p w:rsidR="00DF2866" w:rsidRDefault="00DF2866">
      <w:pPr>
        <w:rPr>
          <w:rFonts w:ascii="宋体" w:eastAsia="宋体" w:hAnsi="宋体" w:cs="宋体"/>
          <w:sz w:val="24"/>
          <w:szCs w:val="24"/>
        </w:rPr>
      </w:pPr>
    </w:p>
    <w:p w:rsidR="00DF2866" w:rsidRDefault="00A94D0D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翻译：强毅 甘肃省妇幼保健院</w:t>
      </w:r>
    </w:p>
    <w:p w:rsidR="003E2B58" w:rsidRPr="003E2B58" w:rsidRDefault="003E2B5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审校：沈佳 上海儿童医学中心</w:t>
      </w:r>
    </w:p>
    <w:p w:rsidR="00DF2866" w:rsidRDefault="00A94D0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【摘要】</w:t>
      </w:r>
    </w:p>
    <w:p w:rsidR="00DF2866" w:rsidRDefault="00A94D0D" w:rsidP="003E2B58">
      <w:pPr>
        <w:spacing w:line="360" w:lineRule="auto"/>
        <w:ind w:firstLineChars="175" w:firstLine="4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背景</w:t>
      </w:r>
      <w:r>
        <w:rPr>
          <w:rFonts w:ascii="宋体" w:eastAsia="宋体" w:hAnsi="宋体" w:cs="宋体" w:hint="eastAsia"/>
          <w:sz w:val="24"/>
          <w:szCs w:val="24"/>
        </w:rPr>
        <w:t>：微创体外循环（MiECC）管路由传统意义上的体外循环(CECC)管路演化而来。由于在成人心脏外科取得的积极作用和改善的预后，微创体外循环越来越引起儿童心脏外科的重视。</w:t>
      </w:r>
    </w:p>
    <w:p w:rsidR="00DF2866" w:rsidRDefault="00A94D0D" w:rsidP="003E2B58">
      <w:pPr>
        <w:spacing w:line="360" w:lineRule="auto"/>
        <w:ind w:firstLineChars="175" w:firstLine="4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方法</w:t>
      </w:r>
      <w:r>
        <w:rPr>
          <w:rFonts w:ascii="宋体" w:eastAsia="宋体" w:hAnsi="宋体" w:cs="宋体" w:hint="eastAsia"/>
          <w:sz w:val="24"/>
          <w:szCs w:val="24"/>
        </w:rPr>
        <w:t>：2017年3月至2018年8月，38名儿童患者在微创体外循环下进行了各类先心外科手术，根据手术方式不同，采取了两种管路连接方式：I型用于闭式心脏手术，III型用于心内直视手术。主要终点是转换为CECC，次要终点为发生严重的心脑血管不良事件（MACCE）。</w:t>
      </w:r>
    </w:p>
    <w:p w:rsidR="00DF2866" w:rsidRDefault="00A94D0D" w:rsidP="003E2B58">
      <w:pPr>
        <w:spacing w:line="360" w:lineRule="auto"/>
        <w:ind w:firstLineChars="175" w:firstLine="4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结果</w:t>
      </w:r>
      <w:r>
        <w:rPr>
          <w:rFonts w:ascii="宋体" w:eastAsia="宋体" w:hAnsi="宋体" w:cs="宋体" w:hint="eastAsia"/>
          <w:sz w:val="24"/>
          <w:szCs w:val="24"/>
        </w:rPr>
        <w:t>：所有患者均成功进行了MiECC灌注（100％）。患者中位年龄为9.5个月（0.2-176个月），中位体重为8.1千克（2.3-49千克）。两组患者均未发生微创体外循环相关并发症。23例（60％）在常温心脏跳动下进行了手术， 15例（40％）在浅低温心脏停跳下进行了手术。所有患者均术中术后病程顺利，无院内死亡，住院期间未发生MACCE。</w:t>
      </w:r>
    </w:p>
    <w:p w:rsidR="00DF2866" w:rsidRDefault="00A94D0D" w:rsidP="003E2B58">
      <w:pPr>
        <w:spacing w:line="360" w:lineRule="auto"/>
        <w:ind w:firstLineChars="175" w:firstLine="4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结论</w:t>
      </w:r>
      <w:r>
        <w:rPr>
          <w:rFonts w:ascii="宋体" w:eastAsia="宋体" w:hAnsi="宋体" w:cs="宋体" w:hint="eastAsia"/>
          <w:sz w:val="24"/>
          <w:szCs w:val="24"/>
        </w:rPr>
        <w:t>：技术规范的MiECC可以用于闭式和心内直视心脏手术，以纠正新生儿和儿童的各种心脏畸形，效果良好且术中术后病程平稳。</w:t>
      </w:r>
    </w:p>
    <w:p w:rsidR="00DF2866" w:rsidRDefault="00A94D0D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【关键词】</w:t>
      </w:r>
      <w:r>
        <w:rPr>
          <w:rFonts w:ascii="宋体" w:eastAsia="宋体" w:hAnsi="宋体" w:cs="宋体" w:hint="eastAsia"/>
          <w:sz w:val="24"/>
          <w:szCs w:val="24"/>
        </w:rPr>
        <w:t>：微创体外循环管路（MiECC）；离心泵;小儿先天性心脏病手术；灌注系统</w:t>
      </w:r>
    </w:p>
    <w:p w:rsidR="001B304F" w:rsidRDefault="001B304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DF2866" w:rsidRDefault="00A94D0D" w:rsidP="003E2B58">
      <w:pPr>
        <w:spacing w:line="360" w:lineRule="auto"/>
        <w:ind w:firstLineChars="175" w:firstLine="49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方法</w:t>
      </w:r>
    </w:p>
    <w:p w:rsidR="00DF2866" w:rsidRDefault="00A94D0D" w:rsidP="00B73612">
      <w:pPr>
        <w:spacing w:line="360" w:lineRule="auto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依据国际微创体外循环协会对MiECC管路的分类，I型用于闭式心脏手术，III型用于心内直视手术。MiECC I型管路为闭合管路，包含了氧合器、离心泵头和连接管道。这套管路不包含开放式的静脉回流室，MiECC I型管路所有组件均有肝素涂层，并且管道长度大为缩短。在闭式心脏手术，例如中心型体肺分流术中，可以将MiECC管路减少到最小程度，术中出血的管理需要用到自体血液回收系</w:t>
      </w:r>
      <w:r>
        <w:rPr>
          <w:rFonts w:ascii="宋体" w:eastAsia="宋体" w:hAnsi="宋体" w:cs="宋体" w:hint="eastAsia"/>
          <w:sz w:val="28"/>
          <w:szCs w:val="28"/>
        </w:rPr>
        <w:t>统。</w:t>
      </w:r>
      <w:r>
        <w:rPr>
          <w:rFonts w:ascii="宋体" w:eastAsia="宋体" w:hAnsi="宋体" w:cs="宋体" w:hint="eastAsia"/>
          <w:sz w:val="24"/>
          <w:szCs w:val="24"/>
        </w:rPr>
        <w:t>MiECC I型和MiECC III型之间的主要区别是改进了术中回收血液的管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理。这可以通过不同的模块化配置来实现：首先，在MiECC回路中安装回流室。其次，整合了另外的心内和心外吸引管路（图1）。管路组成有： Trilium®涂层管道，Affinity®离心泵头，CAPIOX®FX 05氧合器（&lt;10kg），Affinity®氧合器（10-20kg）, CAPIOX®FX 15氧合器(20-50kg)，预冲液为乳酸林格氏液，HCT&lt;25%时预充红细胞。</w:t>
      </w:r>
    </w:p>
    <w:p w:rsidR="00B73612" w:rsidRDefault="00B73612" w:rsidP="00B73612">
      <w:pPr>
        <w:spacing w:line="360" w:lineRule="auto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</w:p>
    <w:p w:rsidR="00B73612" w:rsidRPr="00B73612" w:rsidRDefault="00B73612" w:rsidP="00B73612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B73612">
        <w:rPr>
          <w:rFonts w:ascii="宋体" w:eastAsia="宋体" w:hAnsi="宋体" w:cs="宋体" w:hint="eastAsia"/>
          <w:b/>
          <w:sz w:val="24"/>
          <w:szCs w:val="24"/>
        </w:rPr>
        <w:t>结果</w:t>
      </w:r>
    </w:p>
    <w:p w:rsidR="00B73612" w:rsidRDefault="00B73612" w:rsidP="00B73612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38例患者成功实施了MiECC灌注。患者中位年龄9.5月（0.2-176月），中位体重8.1kg(2.3-49kg)，MiECC I型应用于闭式心脏手术，例如体肺分流（13％）和PCPC（5％）。 MiEC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C III型用于VSD修补（32％），ASD修补（8％），肺动脉补片成形术（18％），RV-PA管道植入（11％），TCPC（5％），PAVSD（3％），主动脉瓣下狭窄切除术（3％）和主动脉瓣重建术（3％）。表1汇总了术前人口统计学资料。大部分病例（72％）采用正中开胸，11例（28％）采用垂直右腋下开胸。下腔静脉经皮穿刺下腔静脉插管9例（24％）。两种MiECC均未发生机械相关并发症。灌注流量中位数1.2L/min·m</w:t>
      </w:r>
      <w:r>
        <w:rPr>
          <w:rFonts w:ascii="宋体" w:eastAsia="宋体" w:hAnsi="宋体" w:cs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(0.5-3.6L/min·m</w:t>
      </w:r>
      <w:r>
        <w:rPr>
          <w:rFonts w:ascii="宋体" w:eastAsia="宋体" w:hAnsi="宋体" w:cs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)，常温下维持目标平均动脉压40-50mmHg。MiECC灌注时间中位数为53.5分钟（19-117分钟）。常温下，23例（60％）进行了不停跳心脏手术，15例浅低温下心脏停跳。阻断时间中位数为29分钟（15-55分钟）（表2）。MiECC后血乳酸水平1.9mmol/L（0.7-4.8mmol/L）。HCT水平MiECC停机前的中位数为34％（28-53％），停机后的中位数为27％（21-43％）。在MiECC之前，血红蛋白的中位数为109 g / L（91–164 g / L），MiECC停机后105克/升（77-151克/升）。所有患者术中术后病程顺利，无院内死亡，住院期间未发生严重心脑血管不良事件（MACCE）。</w:t>
      </w:r>
    </w:p>
    <w:p w:rsidR="00DF2866" w:rsidRPr="00B73612" w:rsidRDefault="00DF2866" w:rsidP="00B7361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1"/>
        <w:gridCol w:w="4261"/>
      </w:tblGrid>
      <w:tr w:rsidR="00DF2866">
        <w:trPr>
          <w:trHeight w:val="3770"/>
        </w:trPr>
        <w:tc>
          <w:tcPr>
            <w:tcW w:w="4261" w:type="dxa"/>
          </w:tcPr>
          <w:p w:rsidR="00DF2866" w:rsidRDefault="00A94D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lastRenderedPageBreak/>
              <w:drawing>
                <wp:inline distT="0" distB="0" distL="114300" distR="114300">
                  <wp:extent cx="2571750" cy="6503035"/>
                  <wp:effectExtent l="0" t="0" r="6350" b="12065"/>
                  <wp:docPr id="2" name="图片 2" descr="QQ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650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DF2866" w:rsidRDefault="00A94D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2749550" cy="2286000"/>
                  <wp:effectExtent l="0" t="0" r="6350" b="0"/>
                  <wp:docPr id="3" name="图片 3" descr="QQ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612" w:rsidRDefault="00B73612" w:rsidP="00B7361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DF2866" w:rsidRDefault="00A94D0D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讨论</w:t>
      </w:r>
    </w:p>
    <w:p w:rsidR="00DF2866" w:rsidRDefault="00A94D0D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前所述，类似于在成人心脏手术中显示出的积极效果，MiECC灌注在小儿心脏手术中的应用可能会改善围手术期结局。作者报告了针对闭式和开放式小儿心脏手术定制的MiECC系统的首次成功应用。该系统运行可靠，无需转换为CECC。可以标准化的方式执行所有心脏畸形矫正手术，效果良好且过程平稳。系统的模块化允许根据手术要求调整灌注系统。可应用I型MiECC完成闭式心脏手术的体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外循环，例如中央型体-肺分流术。这种完全闭合回路在2.5-3.5 kg新生儿的分流术中的应用尤为有益。</w:t>
      </w:r>
    </w:p>
    <w:p w:rsidR="00DF2866" w:rsidRDefault="00A94D0D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所有心内直视手术，必须加用一个回流室以进行血液回收。当然，MiECC III型与创建封闭灌注、尽可能减少血液与空气接触的理念有冲突。作者团队目前正在研究不带硬壳回流室系统的开发。该系统拟在回收血液重新输注到封闭的灌注回路之前，最大程度地减少空气吸入并消除空气。</w:t>
      </w:r>
    </w:p>
    <w:p w:rsidR="00DF2866" w:rsidRDefault="00A94D0D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必须承认，该报告无法提供使用MiECC管路进行儿科心脏手术有益的证据，尚需进一步研究。该报告主要目标是评估MiECC系统在新生儿及青少年患者中的技术可行性。根据作者经验得出结论，MiECC灌注系统适用于闭式或心内直视下先天性心脏病手术。</w:t>
      </w:r>
    </w:p>
    <w:p w:rsidR="00DF2866" w:rsidRDefault="00A94D0D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MiECC灌注系统看似只做了细节改变，但其进一步减少了管道长度和预充量，并且其优点是开放式、依赖于重力静脉引流的常规ECC系统无法实现的。</w:t>
      </w:r>
    </w:p>
    <w:p w:rsidR="00DF2866" w:rsidRDefault="00DF2866">
      <w:pPr>
        <w:spacing w:line="360" w:lineRule="auto"/>
        <w:ind w:firstLineChars="175" w:firstLine="420"/>
        <w:rPr>
          <w:rFonts w:ascii="宋体" w:eastAsia="宋体" w:hAnsi="宋体" w:cs="宋体"/>
          <w:sz w:val="24"/>
          <w:szCs w:val="24"/>
        </w:rPr>
      </w:pPr>
    </w:p>
    <w:p w:rsidR="00DF2866" w:rsidRDefault="00A94D0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5267325" cy="2952115"/>
            <wp:effectExtent l="0" t="0" r="3175" b="6985"/>
            <wp:docPr id="1" name="图片 1" descr="QQ图片2020021323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2132347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866" w:rsidRDefault="00DF2866">
      <w:pPr>
        <w:rPr>
          <w:rFonts w:ascii="宋体" w:eastAsia="宋体" w:hAnsi="宋体" w:cs="宋体"/>
        </w:rPr>
      </w:pPr>
    </w:p>
    <w:sectPr w:rsidR="00DF2866" w:rsidSect="000D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C6D" w:rsidRDefault="00206C6D" w:rsidP="003E2B58">
      <w:r>
        <w:separator/>
      </w:r>
    </w:p>
  </w:endnote>
  <w:endnote w:type="continuationSeparator" w:id="0">
    <w:p w:rsidR="00206C6D" w:rsidRDefault="00206C6D" w:rsidP="003E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C6D" w:rsidRDefault="00206C6D" w:rsidP="003E2B58">
      <w:r>
        <w:separator/>
      </w:r>
    </w:p>
  </w:footnote>
  <w:footnote w:type="continuationSeparator" w:id="0">
    <w:p w:rsidR="00206C6D" w:rsidRDefault="00206C6D" w:rsidP="003E2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76800"/>
    <w:rsid w:val="00024CB4"/>
    <w:rsid w:val="000D2B50"/>
    <w:rsid w:val="001B304F"/>
    <w:rsid w:val="00206C6D"/>
    <w:rsid w:val="0022297B"/>
    <w:rsid w:val="00240DFF"/>
    <w:rsid w:val="003E2B58"/>
    <w:rsid w:val="006E4028"/>
    <w:rsid w:val="007D31C8"/>
    <w:rsid w:val="007F2499"/>
    <w:rsid w:val="0082631F"/>
    <w:rsid w:val="008D6A06"/>
    <w:rsid w:val="009538F3"/>
    <w:rsid w:val="009953EE"/>
    <w:rsid w:val="00A94D0D"/>
    <w:rsid w:val="00B11E94"/>
    <w:rsid w:val="00B35672"/>
    <w:rsid w:val="00B73612"/>
    <w:rsid w:val="00C76800"/>
    <w:rsid w:val="00C96A41"/>
    <w:rsid w:val="00D46522"/>
    <w:rsid w:val="00DD4920"/>
    <w:rsid w:val="00DF2866"/>
    <w:rsid w:val="00DF2BC7"/>
    <w:rsid w:val="00E24B8F"/>
    <w:rsid w:val="00E97FE5"/>
    <w:rsid w:val="00FC53D1"/>
    <w:rsid w:val="00FD424A"/>
    <w:rsid w:val="036331B0"/>
    <w:rsid w:val="16ED3A0C"/>
    <w:rsid w:val="1D58020E"/>
    <w:rsid w:val="463F5988"/>
    <w:rsid w:val="57495915"/>
    <w:rsid w:val="60566B63"/>
    <w:rsid w:val="6ECE3869"/>
    <w:rsid w:val="6F5E010E"/>
    <w:rsid w:val="716E2619"/>
    <w:rsid w:val="71B3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D2B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4D0D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4D0D"/>
    <w:rPr>
      <w:rFonts w:ascii="Heiti SC Light" w:eastAsia="Heiti SC Light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E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2B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E2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E2B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D0D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A94D0D"/>
    <w:rPr>
      <w:rFonts w:ascii="Heiti SC Light" w:eastAsia="Heiti SC Light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327</Words>
  <Characters>1866</Characters>
  <Application>Microsoft Office Word</Application>
  <DocSecurity>0</DocSecurity>
  <Lines>15</Lines>
  <Paragraphs>4</Paragraphs>
  <ScaleCrop>false</ScaleCrop>
  <Company>home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庄铸锴</dc:creator>
  <cp:lastModifiedBy>Windows 用户</cp:lastModifiedBy>
  <cp:revision>13</cp:revision>
  <dcterms:created xsi:type="dcterms:W3CDTF">2020-02-12T14:08:00Z</dcterms:created>
  <dcterms:modified xsi:type="dcterms:W3CDTF">2020-02-25T13:19:00Z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