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AA" w:rsidRDefault="003D3DC9">
      <w:pPr>
        <w:jc w:val="center"/>
        <w:rPr>
          <w:rFonts w:asciiTheme="minorEastAsia" w:hAnsiTheme="minorEastAsia" w:cstheme="minorEastAsia"/>
          <w:bCs/>
          <w:color w:val="000000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/>
          <w:sz w:val="30"/>
          <w:szCs w:val="30"/>
        </w:rPr>
        <w:t>不可电击复律心律的心脏停搏患者的目标体温管理</w:t>
      </w:r>
    </w:p>
    <w:p w:rsidR="00321DAA" w:rsidRDefault="00321DAA">
      <w:pPr>
        <w:jc w:val="center"/>
        <w:rPr>
          <w:rFonts w:asciiTheme="minorEastAsia" w:hAnsiTheme="minorEastAsia" w:cstheme="minorEastAsia"/>
          <w:bCs/>
          <w:color w:val="000000"/>
          <w:sz w:val="30"/>
          <w:szCs w:val="30"/>
        </w:rPr>
      </w:pPr>
    </w:p>
    <w:p w:rsidR="00321DAA" w:rsidRDefault="003D3DC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翻译：聂燕华  中国科技大学附属第一医院</w:t>
      </w:r>
    </w:p>
    <w:p w:rsidR="00321DAA" w:rsidRDefault="00347D21">
      <w:pPr>
        <w:spacing w:line="360" w:lineRule="auto"/>
        <w:rPr>
          <w:sz w:val="24"/>
        </w:rPr>
      </w:pPr>
      <w:r>
        <w:rPr>
          <w:rFonts w:hint="eastAsia"/>
          <w:sz w:val="24"/>
        </w:rPr>
        <w:t>审校：</w:t>
      </w:r>
      <w:proofErr w:type="gramStart"/>
      <w:r>
        <w:rPr>
          <w:rFonts w:hint="eastAsia"/>
          <w:sz w:val="24"/>
        </w:rPr>
        <w:t>郝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首都医科大学附属北京安贞医院</w:t>
      </w:r>
    </w:p>
    <w:p w:rsidR="00321DAA" w:rsidRDefault="00321DAA">
      <w:pPr>
        <w:jc w:val="left"/>
        <w:rPr>
          <w:rFonts w:asciiTheme="minorEastAsia" w:hAnsiTheme="minorEastAsia" w:cstheme="minorEastAsia"/>
          <w:bCs/>
          <w:color w:val="000000"/>
          <w:sz w:val="30"/>
          <w:szCs w:val="30"/>
        </w:rPr>
      </w:pPr>
    </w:p>
    <w:p w:rsidR="00321DAA" w:rsidRPr="00D964C5" w:rsidRDefault="003D3DC9" w:rsidP="00D96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64C5">
        <w:rPr>
          <w:rFonts w:ascii="Times New Roman" w:hAnsi="Times New Roman" w:cs="Times New Roman"/>
          <w:sz w:val="28"/>
          <w:szCs w:val="28"/>
        </w:rPr>
        <w:t>【摘要】</w:t>
      </w:r>
    </w:p>
    <w:p w:rsidR="00321DAA" w:rsidRPr="00D964C5" w:rsidRDefault="003D3DC9" w:rsidP="00D964C5">
      <w:pPr>
        <w:spacing w:line="360" w:lineRule="auto"/>
        <w:ind w:firstLineChars="200" w:firstLine="482"/>
        <w:rPr>
          <w:rFonts w:ascii="Times New Roman" w:hAnsi="Times New Roman" w:cs="Times New Roman"/>
          <w:color w:val="000000"/>
          <w:sz w:val="24"/>
        </w:rPr>
      </w:pPr>
      <w:r w:rsidRPr="00D964C5">
        <w:rPr>
          <w:rFonts w:ascii="Times New Roman" w:hAnsi="Times New Roman" w:cs="Times New Roman"/>
          <w:b/>
          <w:bCs/>
          <w:color w:val="000000"/>
          <w:sz w:val="24"/>
        </w:rPr>
        <w:t>目的</w:t>
      </w:r>
      <w:r w:rsidRPr="00D964C5">
        <w:rPr>
          <w:rFonts w:ascii="Times New Roman" w:hAnsi="Times New Roman" w:cs="Times New Roman"/>
          <w:color w:val="000000"/>
          <w:sz w:val="24"/>
        </w:rPr>
        <w:t>：对于院外心脏骤停且心肺复苏成功后持续昏迷的成人患者，目前推荐采用中度低温治疗来改善神经系统预后。然而，对于有不可电击复律心律（心脏无收缩或无脉性电活动）的患者而言，中度低温治疗的有效性仍有争议。</w:t>
      </w:r>
    </w:p>
    <w:p w:rsidR="00321DAA" w:rsidRPr="00D964C5" w:rsidRDefault="003D3DC9" w:rsidP="00D964C5">
      <w:pPr>
        <w:spacing w:line="360" w:lineRule="auto"/>
        <w:ind w:firstLineChars="200" w:firstLine="482"/>
        <w:rPr>
          <w:rFonts w:ascii="Times New Roman" w:hAnsi="Times New Roman" w:cs="Times New Roman"/>
          <w:color w:val="000000"/>
          <w:sz w:val="24"/>
        </w:rPr>
      </w:pPr>
      <w:r w:rsidRPr="00D964C5">
        <w:rPr>
          <w:rFonts w:ascii="Times New Roman" w:hAnsi="Times New Roman" w:cs="Times New Roman"/>
          <w:b/>
          <w:bCs/>
          <w:color w:val="000000"/>
          <w:sz w:val="24"/>
        </w:rPr>
        <w:t>方法：</w:t>
      </w:r>
      <w:r w:rsidRPr="00D964C5">
        <w:rPr>
          <w:rFonts w:ascii="Times New Roman" w:hAnsi="Times New Roman" w:cs="Times New Roman"/>
          <w:color w:val="000000"/>
          <w:sz w:val="24"/>
        </w:rPr>
        <w:t>我们开展了一项</w:t>
      </w:r>
      <w:r w:rsidR="00BD3D0F" w:rsidRPr="00D964C5">
        <w:rPr>
          <w:rFonts w:ascii="Times New Roman" w:hAnsi="Times New Roman" w:cs="Times New Roman"/>
          <w:color w:val="000000"/>
          <w:sz w:val="24"/>
        </w:rPr>
        <w:t>开放标签的</w:t>
      </w:r>
      <w:r w:rsidRPr="00D964C5">
        <w:rPr>
          <w:rFonts w:ascii="Times New Roman" w:hAnsi="Times New Roman" w:cs="Times New Roman"/>
          <w:color w:val="000000"/>
          <w:sz w:val="24"/>
        </w:rPr>
        <w:t>随机对照试验，对发生了心脏骤停且有不可电击复律心律，心肺复苏成功之后被送入重症监护病房（</w:t>
      </w:r>
      <w:r w:rsidRPr="00D964C5">
        <w:rPr>
          <w:rFonts w:ascii="Times New Roman" w:hAnsi="Times New Roman" w:cs="Times New Roman"/>
          <w:color w:val="000000"/>
          <w:sz w:val="24"/>
        </w:rPr>
        <w:t>ICU</w:t>
      </w:r>
      <w:r w:rsidRPr="00D964C5">
        <w:rPr>
          <w:rFonts w:ascii="Times New Roman" w:hAnsi="Times New Roman" w:cs="Times New Roman"/>
          <w:color w:val="000000"/>
          <w:sz w:val="24"/>
        </w:rPr>
        <w:t>）的昏迷患者</w:t>
      </w:r>
      <w:r w:rsidR="00B06132" w:rsidRPr="00D964C5">
        <w:rPr>
          <w:rFonts w:ascii="Times New Roman" w:hAnsi="Times New Roman" w:cs="Times New Roman"/>
          <w:color w:val="000000"/>
          <w:sz w:val="24"/>
        </w:rPr>
        <w:t>就两种不同的体温管理策略</w:t>
      </w:r>
      <w:r w:rsidRPr="00D964C5">
        <w:rPr>
          <w:rFonts w:ascii="Times New Roman" w:hAnsi="Times New Roman" w:cs="Times New Roman"/>
          <w:color w:val="000000"/>
          <w:sz w:val="24"/>
        </w:rPr>
        <w:t>进行比较</w:t>
      </w:r>
      <w:r w:rsidR="00B06132" w:rsidRPr="00D964C5">
        <w:rPr>
          <w:rFonts w:ascii="Times New Roman" w:hAnsi="Times New Roman" w:cs="Times New Roman"/>
          <w:color w:val="000000"/>
          <w:sz w:val="24"/>
        </w:rPr>
        <w:t>，分别是</w:t>
      </w:r>
      <w:r w:rsidRPr="00D964C5">
        <w:rPr>
          <w:rFonts w:ascii="Times New Roman" w:hAnsi="Times New Roman" w:cs="Times New Roman"/>
          <w:color w:val="000000"/>
          <w:sz w:val="24"/>
        </w:rPr>
        <w:t>中度低温治疗（前</w:t>
      </w:r>
      <w:r w:rsidRPr="00D964C5">
        <w:rPr>
          <w:rFonts w:ascii="Times New Roman" w:hAnsi="Times New Roman" w:cs="Times New Roman"/>
          <w:color w:val="000000"/>
          <w:sz w:val="24"/>
        </w:rPr>
        <w:t>24</w:t>
      </w:r>
      <w:r w:rsidRPr="00D964C5">
        <w:rPr>
          <w:rFonts w:ascii="Times New Roman" w:hAnsi="Times New Roman" w:cs="Times New Roman"/>
          <w:color w:val="000000"/>
          <w:sz w:val="24"/>
        </w:rPr>
        <w:t>小时期间</w:t>
      </w:r>
      <w:r w:rsidRPr="00D964C5">
        <w:rPr>
          <w:rFonts w:ascii="Times New Roman" w:hAnsi="Times New Roman" w:cs="Times New Roman"/>
          <w:color w:val="000000"/>
          <w:sz w:val="24"/>
        </w:rPr>
        <w:t>33</w:t>
      </w:r>
      <w:r w:rsidR="00B06132" w:rsidRPr="00D964C5">
        <w:rPr>
          <w:rFonts w:ascii="Times New Roman" w:hAnsi="Times New Roman" w:cs="Times New Roman"/>
          <w:color w:val="000000"/>
          <w:sz w:val="24"/>
        </w:rPr>
        <w:t>℃</w:t>
      </w:r>
      <w:r w:rsidRPr="00D964C5">
        <w:rPr>
          <w:rFonts w:ascii="Times New Roman" w:hAnsi="Times New Roman" w:cs="Times New Roman"/>
          <w:color w:val="000000"/>
          <w:sz w:val="24"/>
        </w:rPr>
        <w:t>）与常温治疗（</w:t>
      </w:r>
      <w:r w:rsidRPr="00D964C5">
        <w:rPr>
          <w:rFonts w:ascii="Times New Roman" w:hAnsi="Times New Roman" w:cs="Times New Roman"/>
          <w:color w:val="000000"/>
          <w:sz w:val="24"/>
        </w:rPr>
        <w:t>37</w:t>
      </w:r>
      <w:r w:rsidR="00B06132" w:rsidRPr="00D964C5">
        <w:rPr>
          <w:rFonts w:ascii="Times New Roman" w:hAnsi="Times New Roman" w:cs="Times New Roman"/>
          <w:color w:val="000000"/>
          <w:sz w:val="24"/>
        </w:rPr>
        <w:t>℃</w:t>
      </w:r>
      <w:r w:rsidRPr="00D964C5">
        <w:rPr>
          <w:rFonts w:ascii="Times New Roman" w:hAnsi="Times New Roman" w:cs="Times New Roman"/>
          <w:color w:val="000000"/>
          <w:sz w:val="24"/>
        </w:rPr>
        <w:t>）。评价来自随机分组后第</w:t>
      </w:r>
      <w:r w:rsidRPr="00D964C5">
        <w:rPr>
          <w:rFonts w:ascii="Times New Roman" w:hAnsi="Times New Roman" w:cs="Times New Roman"/>
          <w:color w:val="000000"/>
          <w:sz w:val="24"/>
        </w:rPr>
        <w:t>90</w:t>
      </w:r>
      <w:r w:rsidR="00290CE3" w:rsidRPr="00D964C5">
        <w:rPr>
          <w:rFonts w:ascii="Times New Roman" w:hAnsi="Times New Roman" w:cs="Times New Roman"/>
          <w:color w:val="000000"/>
          <w:sz w:val="24"/>
        </w:rPr>
        <w:t>天</w:t>
      </w:r>
      <w:r w:rsidRPr="00D964C5">
        <w:rPr>
          <w:rFonts w:ascii="Times New Roman" w:hAnsi="Times New Roman" w:cs="Times New Roman"/>
          <w:color w:val="000000"/>
          <w:sz w:val="24"/>
        </w:rPr>
        <w:t>时</w:t>
      </w:r>
      <w:r w:rsidRPr="00D964C5">
        <w:rPr>
          <w:rFonts w:ascii="Times New Roman" w:hAnsi="Times New Roman" w:cs="Times New Roman"/>
          <w:color w:val="222222"/>
          <w:sz w:val="24"/>
        </w:rPr>
        <w:t>具有良好神经系统预后的生存率，</w:t>
      </w:r>
      <w:r w:rsidRPr="00D964C5">
        <w:rPr>
          <w:rFonts w:ascii="Times New Roman" w:hAnsi="Times New Roman" w:cs="Times New Roman"/>
          <w:color w:val="000000"/>
          <w:sz w:val="24"/>
        </w:rPr>
        <w:t>神经系统预后评价应用脑功能分类（</w:t>
      </w:r>
      <w:r w:rsidRPr="00D964C5">
        <w:rPr>
          <w:rFonts w:ascii="Times New Roman" w:hAnsi="Times New Roman" w:cs="Times New Roman"/>
          <w:color w:val="000000"/>
          <w:sz w:val="24"/>
        </w:rPr>
        <w:t>Cerebral Performance Category</w:t>
      </w:r>
      <w:r w:rsidRPr="00D964C5">
        <w:rPr>
          <w:rFonts w:ascii="Times New Roman" w:hAnsi="Times New Roman" w:cs="Times New Roman"/>
          <w:color w:val="000000"/>
          <w:sz w:val="24"/>
        </w:rPr>
        <w:t>，</w:t>
      </w:r>
      <w:r w:rsidRPr="00D964C5">
        <w:rPr>
          <w:rFonts w:ascii="Times New Roman" w:hAnsi="Times New Roman" w:cs="Times New Roman"/>
          <w:color w:val="000000"/>
          <w:sz w:val="24"/>
        </w:rPr>
        <w:t>CPC</w:t>
      </w:r>
      <w:r w:rsidRPr="00D964C5">
        <w:rPr>
          <w:rFonts w:ascii="Times New Roman" w:hAnsi="Times New Roman" w:cs="Times New Roman"/>
          <w:color w:val="000000"/>
          <w:sz w:val="24"/>
        </w:rPr>
        <w:t>）量表（范围为</w:t>
      </w:r>
      <w:r w:rsidRPr="00D964C5">
        <w:rPr>
          <w:rFonts w:ascii="Times New Roman" w:hAnsi="Times New Roman" w:cs="Times New Roman"/>
          <w:color w:val="000000"/>
          <w:sz w:val="24"/>
        </w:rPr>
        <w:t>1~5</w:t>
      </w:r>
      <w:r w:rsidRPr="00D964C5">
        <w:rPr>
          <w:rFonts w:ascii="Times New Roman" w:hAnsi="Times New Roman" w:cs="Times New Roman"/>
          <w:color w:val="000000"/>
          <w:sz w:val="24"/>
        </w:rPr>
        <w:t>分，评分较高表示失能较严重）进行评估。</w:t>
      </w:r>
      <w:r w:rsidRPr="00D964C5">
        <w:rPr>
          <w:rFonts w:ascii="Times New Roman" w:hAnsi="Times New Roman" w:cs="Times New Roman"/>
          <w:color w:val="222222"/>
          <w:sz w:val="24"/>
        </w:rPr>
        <w:t>神经系统预后良好定义为</w:t>
      </w:r>
      <w:r w:rsidRPr="00D964C5">
        <w:rPr>
          <w:rFonts w:ascii="Times New Roman" w:hAnsi="Times New Roman" w:cs="Times New Roman"/>
          <w:color w:val="222222"/>
          <w:sz w:val="24"/>
        </w:rPr>
        <w:t>CPC</w:t>
      </w:r>
      <w:r w:rsidRPr="00D964C5">
        <w:rPr>
          <w:rFonts w:ascii="Times New Roman" w:hAnsi="Times New Roman" w:cs="Times New Roman"/>
          <w:color w:val="222222"/>
          <w:sz w:val="24"/>
        </w:rPr>
        <w:t>评分为</w:t>
      </w:r>
      <w:r w:rsidRPr="00D964C5">
        <w:rPr>
          <w:rFonts w:ascii="Times New Roman" w:hAnsi="Times New Roman" w:cs="Times New Roman"/>
          <w:color w:val="222222"/>
          <w:sz w:val="24"/>
        </w:rPr>
        <w:t>1</w:t>
      </w:r>
      <w:r w:rsidRPr="00D964C5">
        <w:rPr>
          <w:rFonts w:ascii="Times New Roman" w:hAnsi="Times New Roman" w:cs="Times New Roman"/>
          <w:color w:val="222222"/>
          <w:sz w:val="24"/>
        </w:rPr>
        <w:t>或</w:t>
      </w:r>
      <w:r w:rsidRPr="00D964C5">
        <w:rPr>
          <w:rFonts w:ascii="Times New Roman" w:hAnsi="Times New Roman" w:cs="Times New Roman"/>
          <w:color w:val="222222"/>
          <w:sz w:val="24"/>
        </w:rPr>
        <w:t>2</w:t>
      </w:r>
      <w:r w:rsidRPr="00D964C5">
        <w:rPr>
          <w:rFonts w:ascii="Times New Roman" w:hAnsi="Times New Roman" w:cs="Times New Roman"/>
          <w:color w:val="000000"/>
          <w:sz w:val="24"/>
        </w:rPr>
        <w:t>。我们对结局进行</w:t>
      </w:r>
      <w:proofErr w:type="gramStart"/>
      <w:r w:rsidRPr="00D964C5">
        <w:rPr>
          <w:rFonts w:ascii="Times New Roman" w:hAnsi="Times New Roman" w:cs="Times New Roman"/>
          <w:color w:val="000000"/>
          <w:sz w:val="24"/>
        </w:rPr>
        <w:t>了盲法评估</w:t>
      </w:r>
      <w:proofErr w:type="gramEnd"/>
      <w:r w:rsidRPr="00D964C5">
        <w:rPr>
          <w:rFonts w:ascii="Times New Roman" w:hAnsi="Times New Roman" w:cs="Times New Roman"/>
          <w:color w:val="000000"/>
          <w:sz w:val="24"/>
        </w:rPr>
        <w:t>。此外还评估了死亡率和安全性。</w:t>
      </w:r>
    </w:p>
    <w:p w:rsidR="00321DAA" w:rsidRPr="00D964C5" w:rsidRDefault="003D3DC9" w:rsidP="00D964C5">
      <w:pPr>
        <w:spacing w:line="360" w:lineRule="auto"/>
        <w:ind w:firstLineChars="200" w:firstLine="482"/>
        <w:rPr>
          <w:rFonts w:ascii="Times New Roman" w:hAnsi="Times New Roman" w:cs="Times New Roman"/>
          <w:color w:val="000000"/>
          <w:sz w:val="24"/>
        </w:rPr>
      </w:pPr>
      <w:r w:rsidRPr="00D964C5">
        <w:rPr>
          <w:rFonts w:ascii="Times New Roman" w:hAnsi="Times New Roman" w:cs="Times New Roman"/>
          <w:b/>
          <w:bCs/>
          <w:color w:val="000000"/>
          <w:sz w:val="24"/>
        </w:rPr>
        <w:t>结果：</w:t>
      </w:r>
      <w:r w:rsidRPr="00D964C5">
        <w:rPr>
          <w:rFonts w:ascii="Times New Roman" w:hAnsi="Times New Roman" w:cs="Times New Roman"/>
          <w:color w:val="000000"/>
          <w:sz w:val="24"/>
        </w:rPr>
        <w:t>从</w:t>
      </w:r>
      <w:r w:rsidRPr="00D964C5">
        <w:rPr>
          <w:rFonts w:ascii="Times New Roman" w:hAnsi="Times New Roman" w:cs="Times New Roman"/>
          <w:color w:val="000000"/>
          <w:sz w:val="24"/>
        </w:rPr>
        <w:t>2014</w:t>
      </w:r>
      <w:r w:rsidRPr="00D964C5">
        <w:rPr>
          <w:rFonts w:ascii="Times New Roman" w:hAnsi="Times New Roman" w:cs="Times New Roman"/>
          <w:color w:val="000000"/>
          <w:sz w:val="24"/>
        </w:rPr>
        <w:t>年</w:t>
      </w:r>
      <w:r w:rsidRPr="00D964C5">
        <w:rPr>
          <w:rFonts w:ascii="Times New Roman" w:hAnsi="Times New Roman" w:cs="Times New Roman"/>
          <w:color w:val="000000"/>
          <w:sz w:val="24"/>
        </w:rPr>
        <w:t>1</w:t>
      </w:r>
      <w:r w:rsidRPr="00D964C5">
        <w:rPr>
          <w:rFonts w:ascii="Times New Roman" w:hAnsi="Times New Roman" w:cs="Times New Roman"/>
          <w:color w:val="000000"/>
          <w:sz w:val="24"/>
        </w:rPr>
        <w:t>月至</w:t>
      </w:r>
      <w:r w:rsidRPr="00D964C5">
        <w:rPr>
          <w:rFonts w:ascii="Times New Roman" w:hAnsi="Times New Roman" w:cs="Times New Roman"/>
          <w:color w:val="000000"/>
          <w:sz w:val="24"/>
        </w:rPr>
        <w:t>2018</w:t>
      </w:r>
      <w:r w:rsidRPr="00D964C5">
        <w:rPr>
          <w:rFonts w:ascii="Times New Roman" w:hAnsi="Times New Roman" w:cs="Times New Roman"/>
          <w:color w:val="000000"/>
          <w:sz w:val="24"/>
        </w:rPr>
        <w:t>年</w:t>
      </w:r>
      <w:r w:rsidRPr="00D964C5">
        <w:rPr>
          <w:rFonts w:ascii="Times New Roman" w:hAnsi="Times New Roman" w:cs="Times New Roman"/>
          <w:color w:val="000000"/>
          <w:sz w:val="24"/>
        </w:rPr>
        <w:t>1</w:t>
      </w:r>
      <w:r w:rsidRPr="00D964C5">
        <w:rPr>
          <w:rFonts w:ascii="Times New Roman" w:hAnsi="Times New Roman" w:cs="Times New Roman"/>
          <w:color w:val="000000"/>
          <w:sz w:val="24"/>
        </w:rPr>
        <w:t>月，对</w:t>
      </w:r>
      <w:r w:rsidRPr="00D964C5">
        <w:rPr>
          <w:rFonts w:ascii="Times New Roman" w:hAnsi="Times New Roman" w:cs="Times New Roman"/>
          <w:color w:val="000000"/>
          <w:sz w:val="24"/>
        </w:rPr>
        <w:t>25</w:t>
      </w:r>
      <w:r w:rsidRPr="00D964C5">
        <w:rPr>
          <w:rFonts w:ascii="Times New Roman" w:hAnsi="Times New Roman" w:cs="Times New Roman"/>
          <w:color w:val="000000"/>
          <w:sz w:val="24"/>
        </w:rPr>
        <w:t>个</w:t>
      </w:r>
      <w:r w:rsidRPr="00D964C5">
        <w:rPr>
          <w:rFonts w:ascii="Times New Roman" w:hAnsi="Times New Roman" w:cs="Times New Roman"/>
          <w:color w:val="000000"/>
          <w:sz w:val="24"/>
        </w:rPr>
        <w:t>ICU</w:t>
      </w:r>
      <w:r w:rsidRPr="00D964C5">
        <w:rPr>
          <w:rFonts w:ascii="Times New Roman" w:hAnsi="Times New Roman" w:cs="Times New Roman"/>
          <w:color w:val="000000"/>
          <w:sz w:val="24"/>
        </w:rPr>
        <w:t>中心的共计</w:t>
      </w:r>
      <w:r w:rsidRPr="00D964C5">
        <w:rPr>
          <w:rFonts w:ascii="Times New Roman" w:hAnsi="Times New Roman" w:cs="Times New Roman"/>
          <w:color w:val="000000"/>
          <w:sz w:val="24"/>
        </w:rPr>
        <w:t>584</w:t>
      </w:r>
      <w:r w:rsidRPr="00D964C5">
        <w:rPr>
          <w:rFonts w:ascii="Times New Roman" w:hAnsi="Times New Roman" w:cs="Times New Roman"/>
          <w:color w:val="000000"/>
          <w:sz w:val="24"/>
        </w:rPr>
        <w:t>例患者随机分组，其中</w:t>
      </w:r>
      <w:r w:rsidRPr="00D964C5">
        <w:rPr>
          <w:rFonts w:ascii="Times New Roman" w:hAnsi="Times New Roman" w:cs="Times New Roman"/>
          <w:color w:val="000000"/>
          <w:sz w:val="24"/>
        </w:rPr>
        <w:t>581</w:t>
      </w:r>
      <w:r w:rsidRPr="00D964C5">
        <w:rPr>
          <w:rFonts w:ascii="Times New Roman" w:hAnsi="Times New Roman" w:cs="Times New Roman"/>
          <w:color w:val="000000"/>
          <w:sz w:val="24"/>
        </w:rPr>
        <w:t>例患者被纳入分析（其中</w:t>
      </w:r>
      <w:r w:rsidRPr="00D964C5">
        <w:rPr>
          <w:rFonts w:ascii="Times New Roman" w:hAnsi="Times New Roman" w:cs="Times New Roman"/>
          <w:color w:val="000000"/>
          <w:sz w:val="24"/>
        </w:rPr>
        <w:t>3</w:t>
      </w:r>
      <w:r w:rsidRPr="00D964C5">
        <w:rPr>
          <w:rFonts w:ascii="Times New Roman" w:hAnsi="Times New Roman" w:cs="Times New Roman"/>
          <w:color w:val="000000"/>
          <w:sz w:val="24"/>
        </w:rPr>
        <w:t>例患者撤回知情同意书）。第</w:t>
      </w:r>
      <w:r w:rsidRPr="00D964C5">
        <w:rPr>
          <w:rFonts w:ascii="Times New Roman" w:hAnsi="Times New Roman" w:cs="Times New Roman"/>
          <w:color w:val="000000"/>
          <w:sz w:val="24"/>
        </w:rPr>
        <w:t>90</w:t>
      </w:r>
      <w:r w:rsidR="00F01CCA" w:rsidRPr="00D964C5">
        <w:rPr>
          <w:rFonts w:ascii="Times New Roman" w:hAnsi="Times New Roman" w:cs="Times New Roman"/>
          <w:color w:val="000000"/>
          <w:sz w:val="24"/>
        </w:rPr>
        <w:t>天</w:t>
      </w:r>
      <w:r w:rsidRPr="00D964C5">
        <w:rPr>
          <w:rFonts w:ascii="Times New Roman" w:hAnsi="Times New Roman" w:cs="Times New Roman"/>
          <w:color w:val="000000"/>
          <w:sz w:val="24"/>
        </w:rPr>
        <w:t>时，低温组</w:t>
      </w:r>
      <w:r w:rsidRPr="00D964C5">
        <w:rPr>
          <w:rFonts w:ascii="Times New Roman" w:hAnsi="Times New Roman" w:cs="Times New Roman"/>
          <w:color w:val="000000"/>
          <w:sz w:val="24"/>
        </w:rPr>
        <w:t>284</w:t>
      </w:r>
      <w:r w:rsidRPr="00D964C5">
        <w:rPr>
          <w:rFonts w:ascii="Times New Roman" w:hAnsi="Times New Roman" w:cs="Times New Roman"/>
          <w:color w:val="000000"/>
          <w:sz w:val="24"/>
        </w:rPr>
        <w:t>例患者中的</w:t>
      </w:r>
      <w:r w:rsidRPr="00D964C5">
        <w:rPr>
          <w:rFonts w:ascii="Times New Roman" w:hAnsi="Times New Roman" w:cs="Times New Roman"/>
          <w:color w:val="000000"/>
          <w:sz w:val="24"/>
        </w:rPr>
        <w:t>29</w:t>
      </w:r>
      <w:r w:rsidRPr="00D964C5">
        <w:rPr>
          <w:rFonts w:ascii="Times New Roman" w:hAnsi="Times New Roman" w:cs="Times New Roman"/>
          <w:color w:val="000000"/>
          <w:sz w:val="24"/>
        </w:rPr>
        <w:t>例（</w:t>
      </w:r>
      <w:r w:rsidRPr="00D964C5">
        <w:rPr>
          <w:rFonts w:ascii="Times New Roman" w:hAnsi="Times New Roman" w:cs="Times New Roman"/>
          <w:color w:val="000000"/>
          <w:sz w:val="24"/>
        </w:rPr>
        <w:t>10.2%</w:t>
      </w:r>
      <w:r w:rsidRPr="00D964C5">
        <w:rPr>
          <w:rFonts w:ascii="Times New Roman" w:hAnsi="Times New Roman" w:cs="Times New Roman"/>
          <w:color w:val="000000"/>
          <w:sz w:val="24"/>
        </w:rPr>
        <w:t>）存活且</w:t>
      </w:r>
      <w:r w:rsidRPr="00D964C5">
        <w:rPr>
          <w:rFonts w:ascii="Times New Roman" w:hAnsi="Times New Roman" w:cs="Times New Roman"/>
          <w:color w:val="000000"/>
          <w:sz w:val="24"/>
        </w:rPr>
        <w:t>CPC</w:t>
      </w:r>
      <w:r w:rsidRPr="00D964C5">
        <w:rPr>
          <w:rFonts w:ascii="Times New Roman" w:hAnsi="Times New Roman" w:cs="Times New Roman"/>
          <w:color w:val="000000"/>
          <w:sz w:val="24"/>
        </w:rPr>
        <w:t>评分为</w:t>
      </w:r>
      <w:r w:rsidRPr="00D964C5">
        <w:rPr>
          <w:rFonts w:ascii="Times New Roman" w:hAnsi="Times New Roman" w:cs="Times New Roman"/>
          <w:color w:val="000000"/>
          <w:sz w:val="24"/>
        </w:rPr>
        <w:t>1</w:t>
      </w:r>
      <w:r w:rsidRPr="00D964C5">
        <w:rPr>
          <w:rFonts w:ascii="Times New Roman" w:hAnsi="Times New Roman" w:cs="Times New Roman"/>
          <w:color w:val="000000"/>
          <w:sz w:val="24"/>
        </w:rPr>
        <w:t>或</w:t>
      </w:r>
      <w:r w:rsidRPr="00D964C5">
        <w:rPr>
          <w:rFonts w:ascii="Times New Roman" w:hAnsi="Times New Roman" w:cs="Times New Roman"/>
          <w:color w:val="000000"/>
          <w:sz w:val="24"/>
        </w:rPr>
        <w:t>2</w:t>
      </w:r>
      <w:r w:rsidRPr="00D964C5">
        <w:rPr>
          <w:rFonts w:ascii="Times New Roman" w:hAnsi="Times New Roman" w:cs="Times New Roman"/>
          <w:color w:val="000000"/>
          <w:sz w:val="24"/>
        </w:rPr>
        <w:t>分，而常温组为</w:t>
      </w:r>
      <w:r w:rsidRPr="00D964C5">
        <w:rPr>
          <w:rFonts w:ascii="Times New Roman" w:hAnsi="Times New Roman" w:cs="Times New Roman"/>
          <w:color w:val="000000"/>
          <w:sz w:val="24"/>
        </w:rPr>
        <w:t>297</w:t>
      </w:r>
      <w:r w:rsidRPr="00D964C5">
        <w:rPr>
          <w:rFonts w:ascii="Times New Roman" w:hAnsi="Times New Roman" w:cs="Times New Roman"/>
          <w:color w:val="000000"/>
          <w:sz w:val="24"/>
        </w:rPr>
        <w:t>例患者中的</w:t>
      </w:r>
      <w:r w:rsidRPr="00D964C5">
        <w:rPr>
          <w:rFonts w:ascii="Times New Roman" w:hAnsi="Times New Roman" w:cs="Times New Roman"/>
          <w:color w:val="000000"/>
          <w:sz w:val="24"/>
        </w:rPr>
        <w:t>17</w:t>
      </w:r>
      <w:r w:rsidRPr="00D964C5">
        <w:rPr>
          <w:rFonts w:ascii="Times New Roman" w:hAnsi="Times New Roman" w:cs="Times New Roman"/>
          <w:color w:val="000000"/>
          <w:sz w:val="24"/>
        </w:rPr>
        <w:t>例（</w:t>
      </w:r>
      <w:r w:rsidRPr="00D964C5">
        <w:rPr>
          <w:rFonts w:ascii="Times New Roman" w:hAnsi="Times New Roman" w:cs="Times New Roman"/>
          <w:color w:val="000000"/>
          <w:sz w:val="24"/>
        </w:rPr>
        <w:t>5.7%</w:t>
      </w:r>
      <w:r w:rsidRPr="00D964C5">
        <w:rPr>
          <w:rFonts w:ascii="Times New Roman" w:hAnsi="Times New Roman" w:cs="Times New Roman"/>
          <w:color w:val="000000"/>
          <w:sz w:val="24"/>
        </w:rPr>
        <w:t>）（差异，</w:t>
      </w:r>
      <w:r w:rsidRPr="00D964C5">
        <w:rPr>
          <w:rFonts w:ascii="Times New Roman" w:hAnsi="Times New Roman" w:cs="Times New Roman"/>
          <w:color w:val="000000"/>
          <w:sz w:val="24"/>
        </w:rPr>
        <w:t>4.5</w:t>
      </w:r>
      <w:r w:rsidRPr="00D964C5">
        <w:rPr>
          <w:rFonts w:ascii="Times New Roman" w:hAnsi="Times New Roman" w:cs="Times New Roman"/>
          <w:color w:val="000000"/>
          <w:sz w:val="24"/>
        </w:rPr>
        <w:t>个百分点；</w:t>
      </w:r>
      <w:r w:rsidRPr="00D964C5">
        <w:rPr>
          <w:rFonts w:ascii="Times New Roman" w:hAnsi="Times New Roman" w:cs="Times New Roman"/>
          <w:color w:val="000000"/>
          <w:sz w:val="24"/>
        </w:rPr>
        <w:t>95%</w:t>
      </w:r>
      <w:r w:rsidRPr="00D964C5">
        <w:rPr>
          <w:rFonts w:ascii="Times New Roman" w:hAnsi="Times New Roman" w:cs="Times New Roman"/>
          <w:color w:val="000000"/>
          <w:sz w:val="24"/>
        </w:rPr>
        <w:t>置信区间</w:t>
      </w:r>
      <w:r w:rsidRPr="00D964C5">
        <w:rPr>
          <w:rFonts w:ascii="Times New Roman" w:hAnsi="Times New Roman" w:cs="Times New Roman"/>
          <w:color w:val="000000"/>
          <w:sz w:val="24"/>
        </w:rPr>
        <w:t>[CI]</w:t>
      </w:r>
      <w:r w:rsidRPr="00D964C5">
        <w:rPr>
          <w:rFonts w:ascii="Times New Roman" w:hAnsi="Times New Roman" w:cs="Times New Roman"/>
          <w:color w:val="000000"/>
          <w:sz w:val="24"/>
        </w:rPr>
        <w:t>，</w:t>
      </w:r>
      <w:r w:rsidRPr="00D964C5">
        <w:rPr>
          <w:rFonts w:ascii="Times New Roman" w:hAnsi="Times New Roman" w:cs="Times New Roman"/>
          <w:color w:val="000000"/>
          <w:sz w:val="24"/>
        </w:rPr>
        <w:t>0.1~8.9</w:t>
      </w:r>
      <w:r w:rsidRPr="00D964C5">
        <w:rPr>
          <w:rFonts w:ascii="Times New Roman" w:hAnsi="Times New Roman" w:cs="Times New Roman"/>
          <w:color w:val="000000"/>
          <w:sz w:val="24"/>
        </w:rPr>
        <w:t>；</w:t>
      </w:r>
      <w:r w:rsidRPr="00D964C5">
        <w:rPr>
          <w:rFonts w:ascii="Times New Roman" w:hAnsi="Times New Roman" w:cs="Times New Roman"/>
          <w:color w:val="000000"/>
          <w:sz w:val="24"/>
        </w:rPr>
        <w:t>P=0.04</w:t>
      </w:r>
      <w:r w:rsidRPr="00D964C5">
        <w:rPr>
          <w:rFonts w:ascii="Times New Roman" w:hAnsi="Times New Roman" w:cs="Times New Roman"/>
          <w:color w:val="000000"/>
          <w:sz w:val="24"/>
        </w:rPr>
        <w:t>）。低温组和常温组的</w:t>
      </w:r>
      <w:r w:rsidRPr="00D964C5">
        <w:rPr>
          <w:rFonts w:ascii="Times New Roman" w:hAnsi="Times New Roman" w:cs="Times New Roman"/>
          <w:color w:val="000000"/>
          <w:sz w:val="24"/>
        </w:rPr>
        <w:t>90</w:t>
      </w:r>
      <w:r w:rsidR="00F01CCA" w:rsidRPr="00D964C5">
        <w:rPr>
          <w:rFonts w:ascii="Times New Roman" w:hAnsi="Times New Roman" w:cs="Times New Roman"/>
          <w:color w:val="000000"/>
          <w:sz w:val="24"/>
        </w:rPr>
        <w:t>天</w:t>
      </w:r>
      <w:r w:rsidRPr="00D964C5">
        <w:rPr>
          <w:rFonts w:ascii="Times New Roman" w:hAnsi="Times New Roman" w:cs="Times New Roman"/>
          <w:color w:val="000000"/>
          <w:sz w:val="24"/>
        </w:rPr>
        <w:t>死亡率无显著差异（分别为</w:t>
      </w:r>
      <w:r w:rsidRPr="00D964C5">
        <w:rPr>
          <w:rFonts w:ascii="Times New Roman" w:hAnsi="Times New Roman" w:cs="Times New Roman"/>
          <w:color w:val="000000"/>
          <w:sz w:val="24"/>
        </w:rPr>
        <w:t>81.3%</w:t>
      </w:r>
      <w:r w:rsidRPr="00D964C5">
        <w:rPr>
          <w:rFonts w:ascii="Times New Roman" w:hAnsi="Times New Roman" w:cs="Times New Roman"/>
          <w:color w:val="000000"/>
          <w:sz w:val="24"/>
        </w:rPr>
        <w:t>和</w:t>
      </w:r>
      <w:r w:rsidRPr="00D964C5">
        <w:rPr>
          <w:rFonts w:ascii="Times New Roman" w:hAnsi="Times New Roman" w:cs="Times New Roman"/>
          <w:color w:val="000000"/>
          <w:sz w:val="24"/>
        </w:rPr>
        <w:t>83.2%</w:t>
      </w:r>
      <w:r w:rsidRPr="00D964C5">
        <w:rPr>
          <w:rFonts w:ascii="Times New Roman" w:hAnsi="Times New Roman" w:cs="Times New Roman"/>
          <w:color w:val="000000"/>
          <w:sz w:val="24"/>
        </w:rPr>
        <w:t>；差异，</w:t>
      </w:r>
      <w:r w:rsidRPr="00D964C5">
        <w:rPr>
          <w:rFonts w:ascii="Times New Roman" w:hAnsi="Times New Roman" w:cs="Times New Roman"/>
          <w:color w:val="000000"/>
          <w:sz w:val="24"/>
        </w:rPr>
        <w:t>-1.9</w:t>
      </w:r>
      <w:r w:rsidRPr="00D964C5">
        <w:rPr>
          <w:rFonts w:ascii="Times New Roman" w:hAnsi="Times New Roman" w:cs="Times New Roman"/>
          <w:color w:val="000000"/>
          <w:sz w:val="24"/>
        </w:rPr>
        <w:t>个百分点；</w:t>
      </w:r>
      <w:r w:rsidRPr="00D964C5">
        <w:rPr>
          <w:rFonts w:ascii="Times New Roman" w:hAnsi="Times New Roman" w:cs="Times New Roman"/>
          <w:color w:val="000000"/>
          <w:sz w:val="24"/>
        </w:rPr>
        <w:t>95%CI</w:t>
      </w:r>
      <w:r w:rsidRPr="00D964C5">
        <w:rPr>
          <w:rFonts w:ascii="Times New Roman" w:hAnsi="Times New Roman" w:cs="Times New Roman"/>
          <w:color w:val="000000"/>
          <w:sz w:val="24"/>
        </w:rPr>
        <w:t>，</w:t>
      </w:r>
      <w:r w:rsidRPr="00D964C5">
        <w:rPr>
          <w:rFonts w:ascii="Times New Roman" w:hAnsi="Times New Roman" w:cs="Times New Roman"/>
          <w:color w:val="000000"/>
          <w:sz w:val="24"/>
        </w:rPr>
        <w:t>-8.0~4.3</w:t>
      </w:r>
      <w:r w:rsidRPr="00D964C5">
        <w:rPr>
          <w:rFonts w:ascii="Times New Roman" w:hAnsi="Times New Roman" w:cs="Times New Roman"/>
          <w:color w:val="000000"/>
          <w:sz w:val="24"/>
        </w:rPr>
        <w:t>）。预先设定的不良事件的发生率</w:t>
      </w:r>
      <w:r w:rsidR="003922CE" w:rsidRPr="00D964C5">
        <w:rPr>
          <w:rFonts w:ascii="Times New Roman" w:hAnsi="Times New Roman" w:cs="Times New Roman"/>
          <w:color w:val="000000"/>
          <w:sz w:val="24"/>
        </w:rPr>
        <w:t>在两组间</w:t>
      </w:r>
      <w:r w:rsidRPr="00D964C5">
        <w:rPr>
          <w:rFonts w:ascii="Times New Roman" w:hAnsi="Times New Roman" w:cs="Times New Roman"/>
          <w:color w:val="000000"/>
          <w:sz w:val="24"/>
        </w:rPr>
        <w:t>无显著差异。</w:t>
      </w:r>
    </w:p>
    <w:p w:rsidR="00321DAA" w:rsidRPr="00D964C5" w:rsidRDefault="003D3DC9" w:rsidP="00D964C5">
      <w:pPr>
        <w:spacing w:line="360" w:lineRule="auto"/>
        <w:ind w:firstLineChars="200" w:firstLine="482"/>
        <w:rPr>
          <w:rFonts w:ascii="Times New Roman" w:hAnsi="Times New Roman" w:cs="Times New Roman"/>
          <w:color w:val="222222"/>
          <w:sz w:val="24"/>
        </w:rPr>
      </w:pPr>
      <w:r w:rsidRPr="00D964C5">
        <w:rPr>
          <w:rFonts w:ascii="Times New Roman" w:hAnsi="Times New Roman" w:cs="Times New Roman"/>
          <w:b/>
          <w:bCs/>
          <w:color w:val="000000"/>
          <w:sz w:val="24"/>
        </w:rPr>
        <w:t>结论</w:t>
      </w:r>
      <w:r w:rsidRPr="00D964C5">
        <w:rPr>
          <w:rFonts w:ascii="Times New Roman" w:hAnsi="Times New Roman" w:cs="Times New Roman"/>
          <w:color w:val="000000"/>
          <w:sz w:val="24"/>
        </w:rPr>
        <w:t>：</w:t>
      </w:r>
      <w:r w:rsidRPr="00D964C5">
        <w:rPr>
          <w:rFonts w:ascii="Times New Roman" w:hAnsi="Times New Roman" w:cs="Times New Roman"/>
          <w:color w:val="222222"/>
          <w:sz w:val="24"/>
        </w:rPr>
        <w:t>研究认为，在心脏骤停、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有</w:t>
      </w:r>
      <w:r w:rsidRPr="00D964C5">
        <w:rPr>
          <w:rFonts w:ascii="Times New Roman" w:hAnsi="Times New Roman" w:cs="Times New Roman"/>
          <w:color w:val="222222"/>
          <w:sz w:val="24"/>
        </w:rPr>
        <w:t>不可电击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复律</w:t>
      </w:r>
      <w:r w:rsidRPr="00D964C5">
        <w:rPr>
          <w:rFonts w:ascii="Times New Roman" w:hAnsi="Times New Roman" w:cs="Times New Roman"/>
          <w:color w:val="222222"/>
          <w:sz w:val="24"/>
        </w:rPr>
        <w:t>心律复苏的昏迷患者中，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与常温治疗组相比，持续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24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小时</w:t>
      </w:r>
      <w:r w:rsidRPr="00D964C5">
        <w:rPr>
          <w:rFonts w:ascii="Times New Roman" w:hAnsi="Times New Roman" w:cs="Times New Roman"/>
          <w:color w:val="222222"/>
          <w:sz w:val="24"/>
        </w:rPr>
        <w:t>33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22222"/>
          <w:sz w:val="24"/>
        </w:rPr>
        <w:t>中度</w:t>
      </w:r>
      <w:r w:rsidR="00AD55BA" w:rsidRPr="00D964C5">
        <w:rPr>
          <w:rFonts w:ascii="Times New Roman" w:hAnsi="Times New Roman" w:cs="Times New Roman"/>
          <w:color w:val="222222"/>
          <w:sz w:val="24"/>
        </w:rPr>
        <w:t>低温</w:t>
      </w:r>
      <w:r w:rsidRPr="00D964C5">
        <w:rPr>
          <w:rFonts w:ascii="Times New Roman" w:hAnsi="Times New Roman" w:cs="Times New Roman"/>
          <w:color w:val="222222"/>
          <w:sz w:val="24"/>
        </w:rPr>
        <w:t>治疗</w:t>
      </w:r>
      <w:proofErr w:type="gramStart"/>
      <w:r w:rsidR="00AD55BA" w:rsidRPr="00D964C5">
        <w:rPr>
          <w:rFonts w:ascii="Times New Roman" w:hAnsi="Times New Roman" w:cs="Times New Roman"/>
          <w:color w:val="222222"/>
          <w:sz w:val="24"/>
        </w:rPr>
        <w:t>组</w:t>
      </w:r>
      <w:r w:rsidR="002D6B9A" w:rsidRPr="00D964C5">
        <w:rPr>
          <w:rFonts w:ascii="Times New Roman" w:hAnsi="Times New Roman" w:cs="Times New Roman"/>
          <w:color w:val="222222"/>
          <w:sz w:val="24"/>
        </w:rPr>
        <w:t>提高</w:t>
      </w:r>
      <w:proofErr w:type="gramEnd"/>
      <w:r w:rsidR="002D6B9A" w:rsidRPr="00D964C5">
        <w:rPr>
          <w:rFonts w:ascii="Times New Roman" w:hAnsi="Times New Roman" w:cs="Times New Roman"/>
          <w:color w:val="222222"/>
          <w:sz w:val="24"/>
        </w:rPr>
        <w:t>了</w:t>
      </w:r>
      <w:r w:rsidRPr="00D964C5">
        <w:rPr>
          <w:rFonts w:ascii="Times New Roman" w:hAnsi="Times New Roman" w:cs="Times New Roman"/>
          <w:color w:val="000000"/>
          <w:sz w:val="24"/>
        </w:rPr>
        <w:t>90</w:t>
      </w:r>
      <w:r w:rsidRPr="00D964C5">
        <w:rPr>
          <w:rFonts w:ascii="Times New Roman" w:hAnsi="Times New Roman" w:cs="Times New Roman"/>
          <w:color w:val="000000"/>
          <w:sz w:val="24"/>
        </w:rPr>
        <w:t>天</w:t>
      </w:r>
      <w:r w:rsidR="00DB2FDF" w:rsidRPr="00D964C5">
        <w:rPr>
          <w:rFonts w:ascii="Times New Roman" w:hAnsi="Times New Roman" w:cs="Times New Roman"/>
          <w:color w:val="000000"/>
          <w:sz w:val="24"/>
        </w:rPr>
        <w:t>神经系统预后良好</w:t>
      </w:r>
      <w:r w:rsidRPr="00D964C5">
        <w:rPr>
          <w:rFonts w:ascii="Times New Roman" w:hAnsi="Times New Roman" w:cs="Times New Roman"/>
          <w:color w:val="000000"/>
          <w:sz w:val="24"/>
        </w:rPr>
        <w:t>存活</w:t>
      </w:r>
      <w:r w:rsidR="00DB2FDF" w:rsidRPr="00D964C5">
        <w:rPr>
          <w:rFonts w:ascii="Times New Roman" w:hAnsi="Times New Roman" w:cs="Times New Roman"/>
          <w:color w:val="000000"/>
          <w:sz w:val="24"/>
        </w:rPr>
        <w:t>患者的比例</w:t>
      </w:r>
      <w:r w:rsidRPr="00D964C5">
        <w:rPr>
          <w:rFonts w:ascii="Times New Roman" w:hAnsi="Times New Roman" w:cs="Times New Roman"/>
          <w:color w:val="222222"/>
          <w:sz w:val="24"/>
        </w:rPr>
        <w:t>。</w:t>
      </w:r>
    </w:p>
    <w:p w:rsidR="00321DAA" w:rsidRPr="00D964C5" w:rsidRDefault="00321DAA" w:rsidP="00D964C5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</w:rPr>
      </w:pPr>
    </w:p>
    <w:p w:rsidR="00321DAA" w:rsidRPr="00D964C5" w:rsidRDefault="003D3DC9" w:rsidP="00D964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lastRenderedPageBreak/>
        <w:t>1.</w:t>
      </w: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试验设计</w:t>
      </w:r>
    </w:p>
    <w:p w:rsidR="00321DAA" w:rsidRPr="00D964C5" w:rsidRDefault="003D3DC9" w:rsidP="00D964C5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我们在法国的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25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个重症监护病房（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ICU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）（大学医院中有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11 </w:t>
      </w:r>
      <w:proofErr w:type="gramStart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个</w:t>
      </w:r>
      <w:proofErr w:type="gramEnd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，社区医院中有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14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个）中进行了由研究者发起的，多中心，随机，对照试验。</w:t>
      </w:r>
    </w:p>
    <w:p w:rsidR="00321DAA" w:rsidRPr="00D964C5" w:rsidRDefault="003D3DC9" w:rsidP="00D964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2.</w:t>
      </w: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患者选择</w:t>
      </w:r>
    </w:p>
    <w:p w:rsidR="000A73CE" w:rsidRPr="00D964C5" w:rsidRDefault="000A73CE" w:rsidP="00D964C5">
      <w:pPr>
        <w:widowControl/>
        <w:spacing w:line="360" w:lineRule="auto"/>
        <w:ind w:firstLineChars="100" w:firstLine="240"/>
        <w:jc w:val="left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纳入标准：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参加试验的候选人年龄在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18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岁或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18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岁以上，在院内或院外因多种原因导致</w:t>
      </w:r>
      <w:r w:rsidR="003D3DC9" w:rsidRPr="00D964C5">
        <w:rPr>
          <w:rFonts w:ascii="Times New Roman" w:hAnsi="Times New Roman" w:cs="Times New Roman"/>
          <w:color w:val="000000"/>
          <w:sz w:val="24"/>
        </w:rPr>
        <w:t>不可电击复律的心脏骤停，后经抢救恢复循环。</w:t>
      </w:r>
      <w:r w:rsidR="003D3DC9" w:rsidRPr="00D964C5">
        <w:rPr>
          <w:rFonts w:ascii="Times New Roman" w:hAnsi="Times New Roman" w:cs="Times New Roman"/>
          <w:sz w:val="24"/>
        </w:rPr>
        <w:t>符合条件的患者为在</w:t>
      </w:r>
      <w:r w:rsidR="003D3DC9" w:rsidRPr="00D964C5">
        <w:rPr>
          <w:rFonts w:ascii="Times New Roman" w:hAnsi="Times New Roman" w:cs="Times New Roman"/>
          <w:sz w:val="24"/>
        </w:rPr>
        <w:t>ICU</w:t>
      </w:r>
      <w:r w:rsidR="003D3DC9" w:rsidRPr="00D964C5">
        <w:rPr>
          <w:rFonts w:ascii="Times New Roman" w:hAnsi="Times New Roman" w:cs="Times New Roman"/>
          <w:sz w:val="24"/>
        </w:rPr>
        <w:t>入院时已出现昏迷，使用格拉斯哥昏迷评分</w:t>
      </w:r>
      <w:r w:rsidR="003D3DC9" w:rsidRPr="00D964C5">
        <w:rPr>
          <w:rFonts w:ascii="Times New Roman" w:hAnsi="Times New Roman" w:cs="Times New Roman"/>
          <w:sz w:val="24"/>
        </w:rPr>
        <w:t>[GCS]</w:t>
      </w:r>
      <w:r w:rsidR="003D3DC9" w:rsidRPr="00D964C5">
        <w:rPr>
          <w:rFonts w:ascii="Times New Roman" w:hAnsi="Times New Roman" w:cs="Times New Roman"/>
          <w:sz w:val="24"/>
        </w:rPr>
        <w:t>分数</w:t>
      </w:r>
      <w:r w:rsidR="003D3DC9" w:rsidRPr="00D964C5">
        <w:rPr>
          <w:rFonts w:ascii="Times New Roman" w:hAnsi="Times New Roman" w:cs="Times New Roman"/>
          <w:sz w:val="24"/>
        </w:rPr>
        <w:t>≤8</w:t>
      </w:r>
      <w:r w:rsidR="003D3DC9" w:rsidRPr="00D964C5">
        <w:rPr>
          <w:rFonts w:ascii="Times New Roman" w:hAnsi="Times New Roman" w:cs="Times New Roman"/>
          <w:sz w:val="24"/>
        </w:rPr>
        <w:t>；（得分范围从</w:t>
      </w:r>
      <w:r w:rsidR="003D3DC9" w:rsidRPr="00D964C5">
        <w:rPr>
          <w:rFonts w:ascii="Times New Roman" w:hAnsi="Times New Roman" w:cs="Times New Roman"/>
          <w:sz w:val="24"/>
        </w:rPr>
        <w:t>3</w:t>
      </w:r>
      <w:r w:rsidR="003D3DC9" w:rsidRPr="00D964C5">
        <w:rPr>
          <w:rFonts w:ascii="Times New Roman" w:hAnsi="Times New Roman" w:cs="Times New Roman"/>
          <w:sz w:val="24"/>
        </w:rPr>
        <w:t>到</w:t>
      </w:r>
      <w:r w:rsidR="003D3DC9" w:rsidRPr="00D964C5">
        <w:rPr>
          <w:rFonts w:ascii="Times New Roman" w:hAnsi="Times New Roman" w:cs="Times New Roman"/>
          <w:sz w:val="24"/>
        </w:rPr>
        <w:t>15</w:t>
      </w:r>
      <w:r w:rsidR="003D3DC9" w:rsidRPr="00D964C5">
        <w:rPr>
          <w:rFonts w:ascii="Times New Roman" w:hAnsi="Times New Roman" w:cs="Times New Roman"/>
          <w:sz w:val="24"/>
        </w:rPr>
        <w:t>，得分较低提示功能较差），如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在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ICU 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入院前已镇静的患者中，则使用了由急诊医师在镇静前确定的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GCS </w:t>
      </w:r>
      <w:r w:rsidR="003D3DC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评分。</w:t>
      </w:r>
    </w:p>
    <w:p w:rsidR="00321DAA" w:rsidRPr="00D964C5" w:rsidRDefault="003D3DC9" w:rsidP="00D964C5">
      <w:pPr>
        <w:widowControl/>
        <w:spacing w:line="360" w:lineRule="auto"/>
        <w:ind w:firstLineChars="100" w:firstLine="240"/>
        <w:jc w:val="left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排除标准</w:t>
      </w:r>
      <w:r w:rsidR="000A73CE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：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无血流时间（从心脏骤停到开始心肺复苏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[CPR]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）超过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10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分钟；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60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分钟以上的低血压时间（从心肺复苏开始到循环恢复时间）；严重的血液动力学不稳定（连续</w:t>
      </w:r>
      <w:r w:rsidR="0034615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输注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肾上腺素或去甲肾上腺素</w:t>
      </w:r>
      <w:r w:rsidR="0034615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剂量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&gt; 1μg</w:t>
      </w:r>
      <w:r w:rsidR="000041E2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/</w:t>
      </w:r>
      <w:proofErr w:type="spellStart"/>
      <w:r w:rsidR="000041E2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kg.min</w:t>
      </w:r>
      <w:proofErr w:type="spellEnd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）；从心脏骤停到医学检查的时间超过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300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分钟；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Child–Pugh C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级肝硬化（严重肝功能不全）；</w:t>
      </w:r>
      <w:r w:rsidR="008E4677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妊娠期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或哺乳</w:t>
      </w:r>
      <w:r w:rsidR="008E4677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期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；处于</w:t>
      </w:r>
      <w:r w:rsidR="00DD17E0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被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监护状态；</w:t>
      </w:r>
      <w:r w:rsidR="00DD17E0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监狱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囚犯；先前纳入另一项涉及心脏骤停的随机对照试验中，该试验以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天的神经系统预后为主要终点；</w:t>
      </w:r>
      <w:r w:rsidR="006A48DD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无医疗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保险，</w:t>
      </w:r>
      <w:r w:rsidR="006A48DD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患者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近亲决定不参</w:t>
      </w:r>
      <w:r w:rsidR="006A48DD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与</w:t>
      </w:r>
      <w:r w:rsidR="00DD5D79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试验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。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</w:t>
      </w:r>
    </w:p>
    <w:p w:rsidR="00321DAA" w:rsidRPr="00D964C5" w:rsidRDefault="003D3DC9" w:rsidP="00D964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3.</w:t>
      </w: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分组</w:t>
      </w:r>
    </w:p>
    <w:p w:rsidR="00321DAA" w:rsidRPr="00D964C5" w:rsidRDefault="003D3DC9" w:rsidP="00D964C5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</w:rPr>
      </w:pPr>
      <w:r w:rsidRPr="00D964C5">
        <w:rPr>
          <w:rFonts w:ascii="Times New Roman" w:hAnsi="Times New Roman" w:cs="Times New Roman"/>
          <w:color w:val="222222"/>
          <w:sz w:val="24"/>
        </w:rPr>
        <w:t>在每个中心，将符合条件的患者以</w:t>
      </w:r>
      <w:r w:rsidRPr="00D964C5">
        <w:rPr>
          <w:rFonts w:ascii="Times New Roman" w:hAnsi="Times New Roman" w:cs="Times New Roman"/>
          <w:color w:val="222222"/>
          <w:sz w:val="24"/>
        </w:rPr>
        <w:t xml:space="preserve"> 1</w:t>
      </w:r>
      <w:r w:rsidRPr="00D964C5">
        <w:rPr>
          <w:rFonts w:ascii="Times New Roman" w:hAnsi="Times New Roman" w:cs="Times New Roman"/>
          <w:color w:val="222222"/>
          <w:sz w:val="24"/>
        </w:rPr>
        <w:t>：</w:t>
      </w:r>
      <w:r w:rsidRPr="00D964C5">
        <w:rPr>
          <w:rFonts w:ascii="Times New Roman" w:hAnsi="Times New Roman" w:cs="Times New Roman"/>
          <w:color w:val="222222"/>
          <w:sz w:val="24"/>
        </w:rPr>
        <w:t xml:space="preserve">1 </w:t>
      </w:r>
      <w:r w:rsidRPr="00D964C5">
        <w:rPr>
          <w:rFonts w:ascii="Times New Roman" w:hAnsi="Times New Roman" w:cs="Times New Roman"/>
          <w:color w:val="222222"/>
          <w:sz w:val="24"/>
        </w:rPr>
        <w:t>的比例随机分配为中</w:t>
      </w:r>
      <w:r w:rsidR="00710BA8" w:rsidRPr="00D964C5">
        <w:rPr>
          <w:rFonts w:ascii="Times New Roman" w:hAnsi="Times New Roman" w:cs="Times New Roman"/>
          <w:color w:val="222222"/>
          <w:sz w:val="24"/>
        </w:rPr>
        <w:t>度</w:t>
      </w:r>
      <w:r w:rsidRPr="00D964C5">
        <w:rPr>
          <w:rFonts w:ascii="Times New Roman" w:hAnsi="Times New Roman" w:cs="Times New Roman"/>
          <w:color w:val="222222"/>
          <w:sz w:val="24"/>
        </w:rPr>
        <w:t>低温</w:t>
      </w:r>
      <w:r w:rsidR="00710BA8" w:rsidRPr="00D964C5">
        <w:rPr>
          <w:rFonts w:ascii="Times New Roman" w:hAnsi="Times New Roman" w:cs="Times New Roman"/>
          <w:color w:val="222222"/>
          <w:sz w:val="24"/>
        </w:rPr>
        <w:t>治疗</w:t>
      </w:r>
      <w:r w:rsidRPr="00D964C5">
        <w:rPr>
          <w:rFonts w:ascii="Times New Roman" w:hAnsi="Times New Roman" w:cs="Times New Roman"/>
          <w:color w:val="222222"/>
          <w:sz w:val="24"/>
        </w:rPr>
        <w:t>（</w:t>
      </w:r>
      <w:r w:rsidRPr="00D964C5">
        <w:rPr>
          <w:rFonts w:ascii="Times New Roman" w:hAnsi="Times New Roman" w:cs="Times New Roman"/>
          <w:color w:val="222222"/>
          <w:sz w:val="24"/>
        </w:rPr>
        <w:t>33</w:t>
      </w:r>
      <w:r w:rsidR="00E023AE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22222"/>
          <w:sz w:val="24"/>
        </w:rPr>
        <w:t>）组或</w:t>
      </w:r>
      <w:r w:rsidR="00364813" w:rsidRPr="00D964C5">
        <w:rPr>
          <w:rFonts w:ascii="Times New Roman" w:hAnsi="Times New Roman" w:cs="Times New Roman"/>
          <w:color w:val="222222"/>
          <w:sz w:val="24"/>
        </w:rPr>
        <w:t>常温治疗</w:t>
      </w:r>
      <w:r w:rsidRPr="00D964C5">
        <w:rPr>
          <w:rFonts w:ascii="Times New Roman" w:hAnsi="Times New Roman" w:cs="Times New Roman"/>
          <w:color w:val="222222"/>
          <w:sz w:val="24"/>
        </w:rPr>
        <w:t>（</w:t>
      </w:r>
      <w:r w:rsidRPr="00D964C5">
        <w:rPr>
          <w:rFonts w:ascii="Times New Roman" w:hAnsi="Times New Roman" w:cs="Times New Roman"/>
          <w:color w:val="222222"/>
          <w:sz w:val="24"/>
        </w:rPr>
        <w:t>37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22222"/>
          <w:sz w:val="24"/>
        </w:rPr>
        <w:t>）组。使用</w:t>
      </w:r>
      <w:r w:rsidRPr="00D964C5">
        <w:rPr>
          <w:rFonts w:ascii="Times New Roman" w:hAnsi="Times New Roman" w:cs="Times New Roman"/>
          <w:color w:val="222222"/>
          <w:sz w:val="24"/>
        </w:rPr>
        <w:t>24</w:t>
      </w:r>
      <w:r w:rsidRPr="00D964C5">
        <w:rPr>
          <w:rFonts w:ascii="Times New Roman" w:hAnsi="Times New Roman" w:cs="Times New Roman"/>
          <w:color w:val="222222"/>
          <w:sz w:val="24"/>
        </w:rPr>
        <w:t>小时均可访问的基于</w:t>
      </w:r>
      <w:r w:rsidRPr="00D964C5">
        <w:rPr>
          <w:rFonts w:ascii="Times New Roman" w:hAnsi="Times New Roman" w:cs="Times New Roman"/>
          <w:color w:val="222222"/>
          <w:sz w:val="24"/>
        </w:rPr>
        <w:t xml:space="preserve">Web </w:t>
      </w:r>
      <w:r w:rsidRPr="00D964C5">
        <w:rPr>
          <w:rFonts w:ascii="Times New Roman" w:hAnsi="Times New Roman" w:cs="Times New Roman"/>
          <w:color w:val="222222"/>
          <w:sz w:val="24"/>
        </w:rPr>
        <w:t>的系统进行随机化分组。随机序列由统计学家（不参与招募患者）生成，其中根据</w:t>
      </w:r>
      <w:r w:rsidR="00CE2B72" w:rsidRPr="00D964C5">
        <w:rPr>
          <w:rFonts w:ascii="Times New Roman" w:hAnsi="Times New Roman" w:cs="Times New Roman"/>
          <w:color w:val="222222"/>
          <w:sz w:val="24"/>
        </w:rPr>
        <w:t>多个</w:t>
      </w:r>
      <w:r w:rsidRPr="00D964C5">
        <w:rPr>
          <w:rFonts w:ascii="Times New Roman" w:hAnsi="Times New Roman" w:cs="Times New Roman"/>
          <w:color w:val="222222"/>
          <w:sz w:val="24"/>
        </w:rPr>
        <w:t>因素进行统计分组，</w:t>
      </w:r>
      <w:r w:rsidR="00CE2B72" w:rsidRPr="00D964C5">
        <w:rPr>
          <w:rFonts w:ascii="Times New Roman" w:hAnsi="Times New Roman" w:cs="Times New Roman"/>
          <w:color w:val="222222"/>
          <w:sz w:val="24"/>
        </w:rPr>
        <w:t>包括</w:t>
      </w:r>
      <w:r w:rsidRPr="00D964C5">
        <w:rPr>
          <w:rFonts w:ascii="Times New Roman" w:hAnsi="Times New Roman" w:cs="Times New Roman"/>
          <w:color w:val="222222"/>
          <w:sz w:val="24"/>
        </w:rPr>
        <w:t>各治疗中心情况以及心脏骤停原因（包括心脏原因与非心脏原因）。</w:t>
      </w:r>
    </w:p>
    <w:p w:rsidR="00321DAA" w:rsidRPr="00D964C5" w:rsidRDefault="003D3DC9" w:rsidP="00D964C5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D964C5">
        <w:rPr>
          <w:rFonts w:ascii="Times New Roman" w:hAnsi="Times New Roman" w:cs="Times New Roman"/>
          <w:b/>
          <w:color w:val="231F20"/>
          <w:kern w:val="0"/>
          <w:sz w:val="24"/>
          <w:lang w:bidi="ar"/>
        </w:rPr>
        <w:t>4.</w:t>
      </w:r>
      <w:r w:rsidRPr="00D964C5">
        <w:rPr>
          <w:rFonts w:ascii="Times New Roman" w:hAnsi="Times New Roman" w:cs="Times New Roman"/>
          <w:b/>
          <w:color w:val="231F20"/>
          <w:kern w:val="0"/>
          <w:sz w:val="24"/>
          <w:lang w:bidi="ar"/>
        </w:rPr>
        <w:t>目标温度管理</w:t>
      </w:r>
      <w:r w:rsidRPr="00D964C5">
        <w:rPr>
          <w:rFonts w:ascii="Times New Roman" w:hAnsi="Times New Roman" w:cs="Times New Roman"/>
          <w:b/>
          <w:color w:val="231F20"/>
          <w:kern w:val="0"/>
          <w:sz w:val="24"/>
          <w:lang w:bidi="ar"/>
        </w:rPr>
        <w:t xml:space="preserve"> </w:t>
      </w:r>
    </w:p>
    <w:p w:rsidR="00321DAA" w:rsidRPr="00D964C5" w:rsidRDefault="003D3DC9" w:rsidP="00D964C5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该试验方案涉及多个变量的标准化，包括镇静，神经肌肉阻滞和预期不良事件的处理。有关详细信息，请参见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NEJM.org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上的补充附录。在被归入低温治疗组的患者中，诱发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33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（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±0.5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）的低</w:t>
      </w:r>
      <w:bookmarkStart w:id="0" w:name="_GoBack"/>
      <w:bookmarkEnd w:id="0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温治疗，然后维持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24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小时。每个中心都遵循其标准协议（使用特定设备进行内部及外部冷却），然后以每小时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0.25 -0.5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的速度缓慢的</w:t>
      </w:r>
      <w:r w:rsidR="008144EB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复温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至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36.5 - 37.5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，并保持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24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小时。各中心</w:t>
      </w:r>
      <w:proofErr w:type="gramStart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按试验</w:t>
      </w:r>
      <w:proofErr w:type="gramEnd"/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标准方法为患者提供镇静，使患者躁动镇静评分为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-5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（评分范围为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[-5 [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无反应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]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至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+4 [</w:t>
      </w:r>
      <w:r w:rsidR="00F42C47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有</w:t>
      </w:r>
      <w:r w:rsidR="00D231FA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lastRenderedPageBreak/>
        <w:t>攻击性，有</w:t>
      </w:r>
      <w:r w:rsidR="00F42C47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暴力行为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]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）。在升温期间，当体温升至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36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以上时，镇静作用逐渐减弱。各个中心根据试验设定，将归为常温组的患者中，体温维持在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36.5 - 37.5</w:t>
      </w:r>
      <w:r w:rsidR="00D827E7" w:rsidRPr="00D964C5">
        <w:rPr>
          <w:rFonts w:ascii="Times New Roman" w:hAnsi="Times New Roman" w:cs="Times New Roman"/>
          <w:color w:val="222222"/>
          <w:sz w:val="24"/>
        </w:rPr>
        <w:t>℃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48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小时。并根据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2010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年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ILCOR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指南，在随机分组后的前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12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小时内常规镇静。</w:t>
      </w:r>
    </w:p>
    <w:p w:rsidR="00321DAA" w:rsidRPr="00D964C5" w:rsidRDefault="003D3DC9" w:rsidP="00D964C5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5.</w:t>
      </w:r>
      <w:r w:rsidRPr="00D964C5">
        <w:rPr>
          <w:rFonts w:ascii="Times New Roman" w:hAnsi="Times New Roman" w:cs="Times New Roman"/>
          <w:b/>
          <w:bCs/>
          <w:color w:val="231F20"/>
          <w:kern w:val="0"/>
          <w:sz w:val="24"/>
          <w:lang w:bidi="ar"/>
        </w:rPr>
        <w:t>随访和结果</w:t>
      </w:r>
    </w:p>
    <w:p w:rsidR="00321DAA" w:rsidRPr="00D964C5" w:rsidRDefault="003D3DC9" w:rsidP="00D964C5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231F20"/>
          <w:kern w:val="0"/>
          <w:sz w:val="24"/>
          <w:lang w:bidi="ar"/>
        </w:rPr>
      </w:pP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随访所有存活的患者，直到随机分组后第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天。主要结果是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天伴有预后良好的神经系统的生存率，通过脑功能分类（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CPC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）量表（得分从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1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到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5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，评分越高，表明神经系统损伤越大）进行评估。对于该试验，将神经系统功能预后良好定义为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CPC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得分为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1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（大脑功能表现良好或轻度损伤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)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或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2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（中度损伤），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天的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CPC 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得分是由一位经过专门培训的心理学家</w:t>
      </w:r>
      <w:r w:rsidR="00B7369B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根据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格拉斯哥</w:t>
      </w:r>
      <w:r w:rsidR="006B5C7A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结局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量表</w:t>
      </w:r>
      <w:r w:rsidR="00210167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通过电话</w:t>
      </w:r>
      <w:r w:rsidR="006B5C7A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随访</w:t>
      </w:r>
      <w:r w:rsidR="00EE3EBB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进行评估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，该心理学家对试验一无所知。次要结果是死亡率，机械通气时间，在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 xml:space="preserve"> ICU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和医院的住院时间，感染和血液</w:t>
      </w:r>
      <w:r w:rsidR="00C843A6"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系统</w:t>
      </w:r>
      <w:r w:rsidRPr="00D964C5">
        <w:rPr>
          <w:rFonts w:ascii="Times New Roman" w:hAnsi="Times New Roman" w:cs="Times New Roman"/>
          <w:color w:val="231F20"/>
          <w:kern w:val="0"/>
          <w:sz w:val="24"/>
          <w:lang w:bidi="ar"/>
        </w:rPr>
        <w:t>不良事件。</w:t>
      </w:r>
    </w:p>
    <w:p w:rsidR="00321DAA" w:rsidRPr="00D964C5" w:rsidRDefault="003D3DC9" w:rsidP="00D964C5">
      <w:pPr>
        <w:widowControl/>
        <w:spacing w:line="360" w:lineRule="auto"/>
        <w:ind w:firstLineChars="100" w:firstLine="240"/>
        <w:jc w:val="left"/>
        <w:rPr>
          <w:rFonts w:ascii="Times New Roman" w:hAnsi="Times New Roman" w:cs="Times New Roman"/>
        </w:rPr>
      </w:pP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在第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天，低温治疗组的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284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例患者被纳入分析，其中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29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例的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CPC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得分为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1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或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2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，相比之下，常温治疗组的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297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例患者中有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17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例（分别为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10.2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％和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5.7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％；差异为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4.5 </w:t>
      </w:r>
      <w:proofErr w:type="gramStart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个</w:t>
      </w:r>
      <w:proofErr w:type="gramEnd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百分点；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95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CI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0.1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到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8.9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；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P=0.04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）（表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2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和图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3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）。干预的效果在所有预先指定的各组中是一致的。在针对分层变量进行调整的分析中获得了相似的结果（组间差异为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4.9 </w:t>
      </w:r>
      <w:proofErr w:type="gramStart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个</w:t>
      </w:r>
      <w:proofErr w:type="gramEnd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百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分点；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95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CI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0.5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至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9.3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；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P=0.03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）。在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90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天内死亡的患者人数在中低温治疗组为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231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名，在常温治疗组为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247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名（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81.3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对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83.2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％；差异为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-1.9 </w:t>
      </w:r>
      <w:proofErr w:type="gramStart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个</w:t>
      </w:r>
      <w:proofErr w:type="gramEnd"/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百分点；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95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％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CI 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为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-8.0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至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4.4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）。</w:t>
      </w:r>
      <w:r w:rsidRPr="00D964C5">
        <w:rPr>
          <w:rFonts w:ascii="Times New Roman" w:eastAsia="宋体" w:hAnsi="Times New Roman" w:cs="Times New Roman"/>
          <w:sz w:val="24"/>
        </w:rPr>
        <w:t>两组在存活患者或死亡患者中，其机械通气时间或</w:t>
      </w:r>
      <w:r w:rsidRPr="00D964C5">
        <w:rPr>
          <w:rFonts w:ascii="Times New Roman" w:eastAsia="宋体" w:hAnsi="Times New Roman" w:cs="Times New Roman"/>
          <w:sz w:val="24"/>
        </w:rPr>
        <w:t>ICU</w:t>
      </w:r>
      <w:r w:rsidRPr="00D964C5">
        <w:rPr>
          <w:rFonts w:ascii="Times New Roman" w:eastAsia="宋体" w:hAnsi="Times New Roman" w:cs="Times New Roman"/>
          <w:sz w:val="24"/>
        </w:rPr>
        <w:t>停留时间均没有显著差异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（表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 xml:space="preserve"> 2</w:t>
      </w:r>
      <w:r w:rsidRPr="00D964C5">
        <w:rPr>
          <w:rFonts w:ascii="Times New Roman" w:eastAsia="宋体" w:hAnsi="Times New Roman" w:cs="Times New Roman"/>
          <w:color w:val="231F20"/>
          <w:kern w:val="0"/>
          <w:sz w:val="24"/>
          <w:lang w:bidi="ar"/>
        </w:rPr>
        <w:t>）。</w:t>
      </w:r>
      <w:r w:rsidRPr="00D964C5">
        <w:rPr>
          <w:rFonts w:ascii="Times New Roman" w:eastAsia="宋体" w:hAnsi="Times New Roman" w:cs="Times New Roman"/>
          <w:sz w:val="24"/>
        </w:rPr>
        <w:t>表</w:t>
      </w:r>
      <w:r w:rsidRPr="00D964C5">
        <w:rPr>
          <w:rFonts w:ascii="Times New Roman" w:eastAsia="宋体" w:hAnsi="Times New Roman" w:cs="Times New Roman"/>
          <w:sz w:val="24"/>
        </w:rPr>
        <w:t>2</w:t>
      </w:r>
      <w:r w:rsidRPr="00D964C5">
        <w:rPr>
          <w:rFonts w:ascii="Times New Roman" w:eastAsia="宋体" w:hAnsi="Times New Roman" w:cs="Times New Roman"/>
          <w:sz w:val="24"/>
        </w:rPr>
        <w:t>，图</w:t>
      </w:r>
      <w:r w:rsidRPr="00D964C5">
        <w:rPr>
          <w:rFonts w:ascii="Times New Roman" w:eastAsia="宋体" w:hAnsi="Times New Roman" w:cs="Times New Roman"/>
          <w:sz w:val="24"/>
        </w:rPr>
        <w:t>3</w:t>
      </w:r>
      <w:r w:rsidRPr="00D964C5">
        <w:rPr>
          <w:rFonts w:ascii="Times New Roman" w:eastAsia="宋体" w:hAnsi="Times New Roman" w:cs="Times New Roman"/>
          <w:sz w:val="24"/>
        </w:rPr>
        <w:t>提供了有关神经系统预后和随访的更多详细信息。</w:t>
      </w:r>
    </w:p>
    <w:p w:rsidR="00321DAA" w:rsidRDefault="00321DAA">
      <w:pPr>
        <w:widowControl/>
        <w:jc w:val="left"/>
        <w:rPr>
          <w:rFonts w:asciiTheme="minorEastAsia" w:hAnsiTheme="minorEastAsia" w:cstheme="minorEastAsia"/>
          <w:color w:val="231F20"/>
          <w:kern w:val="0"/>
          <w:sz w:val="30"/>
          <w:szCs w:val="30"/>
          <w:lang w:bidi="ar"/>
        </w:rPr>
      </w:pPr>
    </w:p>
    <w:p w:rsidR="00321DAA" w:rsidRDefault="00321DAA">
      <w:pPr>
        <w:widowControl/>
        <w:jc w:val="left"/>
        <w:rPr>
          <w:rFonts w:asciiTheme="minorEastAsia" w:hAnsiTheme="minorEastAsia" w:cstheme="minorEastAsia"/>
          <w:color w:val="231F20"/>
          <w:kern w:val="0"/>
          <w:sz w:val="30"/>
          <w:szCs w:val="30"/>
          <w:lang w:bidi="ar"/>
        </w:rPr>
      </w:pPr>
    </w:p>
    <w:p w:rsidR="00321DAA" w:rsidRDefault="003D3DC9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271135" cy="7223760"/>
            <wp:effectExtent l="0" t="0" r="57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color w:val="D2232A"/>
          <w:kern w:val="0"/>
          <w:sz w:val="18"/>
          <w:szCs w:val="18"/>
          <w:lang w:bidi="ar"/>
        </w:rPr>
        <w:t xml:space="preserve">图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1.</w:t>
      </w:r>
      <w:r w:rsidR="00687CAE"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 xml:space="preserve">患者的筛查，随机分组和随访。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格拉斯哥昏迷量表的评分范围是 3 到15，较低的分数表示功能较差。从心脏骤停到开始心肺复苏（CPR）定义为无血流时间，从开始心肺复苏到自</w:t>
      </w:r>
      <w:r w:rsidR="0085459A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主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循环恢复为低血流时间。ICU 表示重症监护病房。 </w:t>
      </w:r>
    </w:p>
    <w:p w:rsidR="00321DAA" w:rsidRDefault="00321DAA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</w:p>
    <w:p w:rsidR="00321DAA" w:rsidRDefault="00321DAA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</w:p>
    <w:p w:rsidR="00321DAA" w:rsidRDefault="00321DAA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</w:p>
    <w:p w:rsidR="00321DAA" w:rsidRDefault="00321DAA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</w:p>
    <w:p w:rsidR="006B6A75" w:rsidRDefault="006B6A75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b/>
          <w:color w:val="D2232A"/>
          <w:kern w:val="0"/>
          <w:sz w:val="18"/>
          <w:szCs w:val="18"/>
          <w:lang w:bidi="ar"/>
        </w:rPr>
        <w:lastRenderedPageBreak/>
        <w:t xml:space="preserve">表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1.</w:t>
      </w:r>
      <w:r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中度低温（3</w:t>
      </w:r>
      <w:r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>3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℃）治疗组和常温（3</w:t>
      </w:r>
      <w:r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>7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℃）治疗组患者的基线特征。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5270500" cy="683577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6"/>
          <w:szCs w:val="16"/>
          <w:lang w:bidi="ar"/>
        </w:rPr>
        <w:t>*</w:t>
      </w:r>
      <w:r>
        <w:rPr>
          <w:rFonts w:ascii="微软雅黑" w:eastAsia="微软雅黑" w:hAnsi="微软雅黑" w:cs="微软雅黑" w:hint="eastAsia"/>
          <w:sz w:val="18"/>
          <w:szCs w:val="18"/>
        </w:rPr>
        <w:t>两组患者基线时的特征均衡</w:t>
      </w:r>
      <w:r>
        <w:rPr>
          <w:rFonts w:ascii="微软雅黑" w:eastAsia="微软雅黑" w:hAnsi="微软雅黑" w:cs="微软雅黑" w:hint="eastAsia"/>
          <w:color w:val="231F20"/>
          <w:kern w:val="0"/>
          <w:sz w:val="16"/>
          <w:szCs w:val="16"/>
          <w:lang w:bidi="ar"/>
        </w:rPr>
        <w:t>。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由于四舍五入的关系，百分比总数可能不等于 100。CPR 表示心肺复苏。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†在 </w:t>
      </w:r>
      <w:proofErr w:type="spellStart"/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Charlson</w:t>
      </w:r>
      <w:proofErr w:type="spellEnd"/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 合并症指数中，根据调整后的死亡或资源使用风险，将每个合并症类别的权重从 1 到 6，并且权重的总和得出患者得分。分数为0表示不存在已知的共存条件，分数越高表示死亡的风险越高，资源占用越大。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‡格拉斯哥昏迷量表的得分在3到15之间，得分越低表示功能越差。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§循环性休克的定义是至少30分钟的收缩压低于 90 毫米汞柱或终末器官灌注受损（四肢凉或每小时尿量少于 30 毫升）。</w:t>
      </w:r>
    </w:p>
    <w:p w:rsidR="00321DAA" w:rsidRDefault="003D3DC9">
      <w:pPr>
        <w:rPr>
          <w:rFonts w:ascii="微软雅黑" w:eastAsia="微软雅黑" w:hAnsi="微软雅黑" w:cs="微软雅黑"/>
          <w:color w:val="222222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>
            <wp:extent cx="5269230" cy="3088640"/>
            <wp:effectExtent l="0" t="0" r="762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color w:val="D2232A"/>
          <w:kern w:val="0"/>
          <w:sz w:val="18"/>
          <w:szCs w:val="18"/>
          <w:lang w:bidi="ar"/>
        </w:rPr>
        <w:t xml:space="preserve">图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2.</w:t>
      </w:r>
      <w:r w:rsidR="00687CAE"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 xml:space="preserve"> </w:t>
      </w:r>
      <w:r w:rsidR="00F34137"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两组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患者</w:t>
      </w:r>
      <w:r w:rsidR="00F34137"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在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 xml:space="preserve">干预期间的平均体温。 </w:t>
      </w:r>
    </w:p>
    <w:p w:rsidR="00321DAA" w:rsidRDefault="00321DAA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D3167E" w:rsidRDefault="00D3167E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AA1695" w:rsidRDefault="00AA1695">
      <w:pPr>
        <w:widowControl/>
        <w:jc w:val="left"/>
        <w:rPr>
          <w:rFonts w:ascii="微软雅黑" w:eastAsia="微软雅黑" w:hAnsi="微软雅黑" w:cs="微软雅黑"/>
          <w:b/>
          <w:color w:val="D2232A"/>
          <w:kern w:val="0"/>
          <w:sz w:val="18"/>
          <w:szCs w:val="18"/>
          <w:lang w:bidi="ar"/>
        </w:rPr>
      </w:pPr>
    </w:p>
    <w:p w:rsidR="00AA1695" w:rsidRDefault="00AA1695">
      <w:pPr>
        <w:widowControl/>
        <w:jc w:val="left"/>
        <w:rPr>
          <w:rFonts w:ascii="微软雅黑" w:eastAsia="微软雅黑" w:hAnsi="微软雅黑" w:cs="微软雅黑"/>
          <w:b/>
          <w:color w:val="D2232A"/>
          <w:kern w:val="0"/>
          <w:sz w:val="18"/>
          <w:szCs w:val="18"/>
          <w:lang w:bidi="ar"/>
        </w:rPr>
      </w:pPr>
    </w:p>
    <w:p w:rsidR="00D3167E" w:rsidRPr="00D964C5" w:rsidRDefault="00D3167E">
      <w:pPr>
        <w:widowControl/>
        <w:jc w:val="left"/>
        <w:rPr>
          <w:rFonts w:ascii="幼圆" w:eastAsia="幼圆" w:hAnsi="幼圆" w:cs="幼圆"/>
          <w:color w:val="231F20"/>
          <w:kern w:val="0"/>
          <w:sz w:val="16"/>
          <w:szCs w:val="16"/>
          <w:lang w:bidi="ar"/>
        </w:rPr>
      </w:pPr>
      <w:r>
        <w:rPr>
          <w:rFonts w:ascii="微软雅黑" w:eastAsia="微软雅黑" w:hAnsi="微软雅黑" w:cs="微软雅黑" w:hint="eastAsia"/>
          <w:b/>
          <w:color w:val="D2232A"/>
          <w:kern w:val="0"/>
          <w:sz w:val="18"/>
          <w:szCs w:val="18"/>
          <w:lang w:bidi="ar"/>
        </w:rPr>
        <w:lastRenderedPageBreak/>
        <w:t xml:space="preserve">表 </w:t>
      </w:r>
      <w:r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>2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.</w:t>
      </w:r>
      <w:r>
        <w:rPr>
          <w:rFonts w:ascii="微软雅黑" w:eastAsia="微软雅黑" w:hAnsi="微软雅黑" w:cs="微软雅黑"/>
          <w:b/>
          <w:color w:val="231F20"/>
          <w:kern w:val="0"/>
          <w:sz w:val="18"/>
          <w:szCs w:val="18"/>
          <w:lang w:bidi="ar"/>
        </w:rPr>
        <w:t xml:space="preserve"> </w:t>
      </w:r>
      <w:r w:rsidR="00B370B0"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神经系统结局和住院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特征。</w:t>
      </w:r>
    </w:p>
    <w:p w:rsidR="00321DAA" w:rsidRDefault="003D3DC9">
      <w:r>
        <w:rPr>
          <w:noProof/>
        </w:rPr>
        <w:drawing>
          <wp:inline distT="0" distB="0" distL="114300" distR="114300">
            <wp:extent cx="5268595" cy="508635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*主要结局是在随机分配后第90天使用脑功能分级（CPC）量表评估的存活和良好的神经系统结局。CPC得分从1到5不等，得分越高表示损伤越大；CPC 得分为5表示死亡。对于该试验，神经学预后良好定义为 CPC 评分为1（大脑表现良好或轻度损伤）或 2（中度损伤）.从这些间隔中得出的结果可能无法再现。ICU 表示重症监护病房。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†在第90天分析 CPC 得分 1或2的百分比与在 90天之前死亡的百分比之间的差异以百分比表示。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 xml:space="preserve">‡风险比是使用竞争风险模型估算的。在 ICU 或医院出院存活率分析中的危险比表示到该时间点存活的可能性，而不是死亡的可能性。 </w:t>
      </w:r>
    </w:p>
    <w:p w:rsidR="00321DAA" w:rsidRDefault="00321DAA">
      <w:pPr>
        <w:widowControl/>
        <w:jc w:val="left"/>
        <w:rPr>
          <w:rFonts w:ascii="微软雅黑" w:eastAsia="微软雅黑" w:hAnsi="微软雅黑" w:cs="微软雅黑"/>
          <w:color w:val="231F20"/>
          <w:kern w:val="0"/>
          <w:sz w:val="18"/>
          <w:szCs w:val="18"/>
          <w:lang w:bidi="ar"/>
        </w:rPr>
      </w:pPr>
    </w:p>
    <w:p w:rsidR="00321DAA" w:rsidRDefault="003D3DC9">
      <w:r>
        <w:rPr>
          <w:noProof/>
        </w:rPr>
        <w:lastRenderedPageBreak/>
        <w:drawing>
          <wp:inline distT="0" distB="0" distL="114300" distR="114300">
            <wp:extent cx="4381500" cy="21672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color w:val="D2232A"/>
          <w:kern w:val="0"/>
          <w:sz w:val="18"/>
          <w:szCs w:val="18"/>
          <w:lang w:bidi="ar"/>
        </w:rPr>
        <w:t xml:space="preserve">图 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3.随机分组后第 90 天的</w:t>
      </w:r>
      <w:r w:rsidR="00291878"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脑功能分类评分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的分布</w:t>
      </w:r>
      <w:r w:rsidR="00291878"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>情况</w:t>
      </w:r>
      <w:r>
        <w:rPr>
          <w:rFonts w:ascii="微软雅黑" w:eastAsia="微软雅黑" w:hAnsi="微软雅黑" w:cs="微软雅黑" w:hint="eastAsia"/>
          <w:b/>
          <w:color w:val="231F20"/>
          <w:kern w:val="0"/>
          <w:sz w:val="18"/>
          <w:szCs w:val="18"/>
          <w:lang w:bidi="ar"/>
        </w:rPr>
        <w:t xml:space="preserve">。 </w:t>
      </w:r>
    </w:p>
    <w:p w:rsidR="00321DAA" w:rsidRDefault="003D3DC9">
      <w:pPr>
        <w:widowControl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脑功能类别（CPC）的得分从1到5 不等，得分越高表示损伤越大。</w:t>
      </w:r>
      <w:proofErr w:type="gramStart"/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失访的</w:t>
      </w:r>
      <w:proofErr w:type="gramEnd"/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患者（低温组</w:t>
      </w:r>
      <w:r w:rsidR="00CE513C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1例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，</w:t>
      </w:r>
      <w:r w:rsidR="00324D0A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常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温组</w:t>
      </w:r>
      <w:r w:rsidR="00CE513C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2</w:t>
      </w:r>
      <w:r w:rsidR="00324D0A"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例</w:t>
      </w:r>
      <w:r>
        <w:rPr>
          <w:rFonts w:ascii="微软雅黑" w:eastAsia="微软雅黑" w:hAnsi="微软雅黑" w:cs="微软雅黑" w:hint="eastAsia"/>
          <w:color w:val="231F20"/>
          <w:kern w:val="0"/>
          <w:sz w:val="18"/>
          <w:szCs w:val="18"/>
          <w:lang w:bidi="ar"/>
        </w:rPr>
        <w:t>）的得分为5，表示患者死亡。在该试验中，神经学预后良好定义为 CPC 得分为 1（大脑表现良好或轻度损伤）或 2（中度损伤）。由于四舍五入关系，百分比可能总计不为 100。</w:t>
      </w:r>
    </w:p>
    <w:p w:rsidR="00321DAA" w:rsidRDefault="00321DAA"/>
    <w:sectPr w:rsidR="0032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4E438D"/>
    <w:rsid w:val="000041E2"/>
    <w:rsid w:val="00044635"/>
    <w:rsid w:val="000A73CE"/>
    <w:rsid w:val="000D350D"/>
    <w:rsid w:val="00210167"/>
    <w:rsid w:val="0025012A"/>
    <w:rsid w:val="00282B2B"/>
    <w:rsid w:val="00290CE3"/>
    <w:rsid w:val="00291878"/>
    <w:rsid w:val="002D6B9A"/>
    <w:rsid w:val="002E50CA"/>
    <w:rsid w:val="00321DAA"/>
    <w:rsid w:val="00324D0A"/>
    <w:rsid w:val="00346159"/>
    <w:rsid w:val="00347D21"/>
    <w:rsid w:val="00364813"/>
    <w:rsid w:val="003922CE"/>
    <w:rsid w:val="003D3DC9"/>
    <w:rsid w:val="00441CDA"/>
    <w:rsid w:val="00455A31"/>
    <w:rsid w:val="004E23F5"/>
    <w:rsid w:val="0051162D"/>
    <w:rsid w:val="00546ED6"/>
    <w:rsid w:val="005C424E"/>
    <w:rsid w:val="00600A90"/>
    <w:rsid w:val="00652B51"/>
    <w:rsid w:val="00653C49"/>
    <w:rsid w:val="00687CAE"/>
    <w:rsid w:val="006A48DD"/>
    <w:rsid w:val="006B5C7A"/>
    <w:rsid w:val="006B6A75"/>
    <w:rsid w:val="006E2917"/>
    <w:rsid w:val="00710BA8"/>
    <w:rsid w:val="00741FB9"/>
    <w:rsid w:val="00775C20"/>
    <w:rsid w:val="007E44F1"/>
    <w:rsid w:val="008144EB"/>
    <w:rsid w:val="00845202"/>
    <w:rsid w:val="008509F3"/>
    <w:rsid w:val="008517DF"/>
    <w:rsid w:val="0085459A"/>
    <w:rsid w:val="008553EC"/>
    <w:rsid w:val="00881DC4"/>
    <w:rsid w:val="008E4677"/>
    <w:rsid w:val="00904E88"/>
    <w:rsid w:val="00A226C2"/>
    <w:rsid w:val="00A342E6"/>
    <w:rsid w:val="00A5375F"/>
    <w:rsid w:val="00A832A2"/>
    <w:rsid w:val="00AA1695"/>
    <w:rsid w:val="00AD55BA"/>
    <w:rsid w:val="00B06132"/>
    <w:rsid w:val="00B370B0"/>
    <w:rsid w:val="00B442EA"/>
    <w:rsid w:val="00B7369B"/>
    <w:rsid w:val="00BD3D0F"/>
    <w:rsid w:val="00C25C57"/>
    <w:rsid w:val="00C708C4"/>
    <w:rsid w:val="00C843A6"/>
    <w:rsid w:val="00CD0112"/>
    <w:rsid w:val="00CE2B72"/>
    <w:rsid w:val="00CE513C"/>
    <w:rsid w:val="00D046CB"/>
    <w:rsid w:val="00D231FA"/>
    <w:rsid w:val="00D3167E"/>
    <w:rsid w:val="00D61D98"/>
    <w:rsid w:val="00D827E7"/>
    <w:rsid w:val="00D964C5"/>
    <w:rsid w:val="00DB2FDF"/>
    <w:rsid w:val="00DC5C66"/>
    <w:rsid w:val="00DD17E0"/>
    <w:rsid w:val="00DD5D79"/>
    <w:rsid w:val="00E023AE"/>
    <w:rsid w:val="00E32CDD"/>
    <w:rsid w:val="00EE3EBB"/>
    <w:rsid w:val="00F01CCA"/>
    <w:rsid w:val="00F13E55"/>
    <w:rsid w:val="00F16738"/>
    <w:rsid w:val="00F34137"/>
    <w:rsid w:val="00F42C47"/>
    <w:rsid w:val="00F55341"/>
    <w:rsid w:val="00F742EC"/>
    <w:rsid w:val="00F963F0"/>
    <w:rsid w:val="00FE4891"/>
    <w:rsid w:val="05B60C5D"/>
    <w:rsid w:val="0CED792C"/>
    <w:rsid w:val="0F100FE6"/>
    <w:rsid w:val="177F4681"/>
    <w:rsid w:val="20D616B0"/>
    <w:rsid w:val="20DB06BF"/>
    <w:rsid w:val="28F2266F"/>
    <w:rsid w:val="386214D6"/>
    <w:rsid w:val="3A151163"/>
    <w:rsid w:val="438B6C44"/>
    <w:rsid w:val="484A13C6"/>
    <w:rsid w:val="4A4E438D"/>
    <w:rsid w:val="53EE7ADB"/>
    <w:rsid w:val="5AB14423"/>
    <w:rsid w:val="5DEA45AE"/>
    <w:rsid w:val="6B3518C8"/>
    <w:rsid w:val="745F606E"/>
    <w:rsid w:val="752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48380-B29D-4D5E-AEF0-0AC2658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64C5"/>
    <w:rPr>
      <w:sz w:val="18"/>
      <w:szCs w:val="18"/>
    </w:rPr>
  </w:style>
  <w:style w:type="character" w:customStyle="1" w:styleId="a4">
    <w:name w:val="批注框文本 字符"/>
    <w:basedOn w:val="a0"/>
    <w:link w:val="a3"/>
    <w:rsid w:val="00D964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燕归来</dc:creator>
  <cp:lastModifiedBy>星 郝</cp:lastModifiedBy>
  <cp:revision>148</cp:revision>
  <dcterms:created xsi:type="dcterms:W3CDTF">2020-02-11T15:14:00Z</dcterms:created>
  <dcterms:modified xsi:type="dcterms:W3CDTF">2020-02-20T02:28:00Z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