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E3DE" w14:textId="1F0E6B4C" w:rsidR="001A557F" w:rsidRPr="00FB112D" w:rsidRDefault="00421883" w:rsidP="00F23BE3">
      <w:pPr>
        <w:pStyle w:val="1"/>
        <w:spacing w:before="92"/>
        <w:ind w:left="0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 w:rsidRPr="00FB112D">
        <w:rPr>
          <w:rFonts w:ascii="Times New Roman" w:eastAsiaTheme="minorEastAsia" w:hAnsi="Times New Roman" w:cs="Times New Roman"/>
          <w:sz w:val="32"/>
          <w:szCs w:val="32"/>
          <w:lang w:eastAsia="zh-CN"/>
        </w:rPr>
        <w:t>肝素诱导血小板减少症</w:t>
      </w:r>
      <w:r w:rsidR="0035238A">
        <w:rPr>
          <w:rFonts w:ascii="Times New Roman" w:eastAsiaTheme="minorEastAsia" w:hAnsi="Times New Roman" w:cs="Times New Roman" w:hint="eastAsia"/>
          <w:sz w:val="32"/>
          <w:szCs w:val="32"/>
          <w:lang w:eastAsia="zh-CN"/>
        </w:rPr>
        <w:t>：</w:t>
      </w:r>
      <w:r w:rsidR="0035238A">
        <w:rPr>
          <w:rFonts w:ascii="Times New Roman" w:eastAsiaTheme="minorEastAsia" w:hAnsi="Times New Roman" w:cs="Times New Roman" w:hint="eastAsia"/>
          <w:sz w:val="32"/>
          <w:szCs w:val="32"/>
          <w:lang w:eastAsia="zh-CN"/>
        </w:rPr>
        <w:t>I</w:t>
      </w:r>
      <w:r w:rsidR="0035238A">
        <w:rPr>
          <w:rFonts w:ascii="Times New Roman" w:eastAsiaTheme="minorEastAsia" w:hAnsi="Times New Roman" w:cs="Times New Roman"/>
          <w:sz w:val="32"/>
          <w:szCs w:val="32"/>
          <w:lang w:eastAsia="zh-CN"/>
        </w:rPr>
        <w:t>CU</w:t>
      </w:r>
      <w:r w:rsidRPr="00FB112D">
        <w:rPr>
          <w:rFonts w:ascii="Times New Roman" w:eastAsiaTheme="minorEastAsia" w:hAnsi="Times New Roman" w:cs="Times New Roman"/>
          <w:sz w:val="32"/>
          <w:szCs w:val="32"/>
          <w:lang w:eastAsia="zh-CN"/>
        </w:rPr>
        <w:t>患者尤其是</w:t>
      </w:r>
      <w:r w:rsidR="0035238A">
        <w:rPr>
          <w:rFonts w:ascii="Times New Roman" w:eastAsiaTheme="minorEastAsia" w:hAnsi="Times New Roman" w:cs="Times New Roman" w:hint="eastAsia"/>
          <w:sz w:val="32"/>
          <w:szCs w:val="32"/>
          <w:lang w:eastAsia="zh-CN"/>
        </w:rPr>
        <w:t>E</w:t>
      </w:r>
      <w:r w:rsidR="0035238A">
        <w:rPr>
          <w:rFonts w:ascii="Times New Roman" w:eastAsiaTheme="minorEastAsia" w:hAnsi="Times New Roman" w:cs="Times New Roman"/>
          <w:sz w:val="32"/>
          <w:szCs w:val="32"/>
          <w:lang w:eastAsia="zh-CN"/>
        </w:rPr>
        <w:t>CMO</w:t>
      </w:r>
      <w:r w:rsidRPr="00FB112D">
        <w:rPr>
          <w:rFonts w:ascii="Times New Roman" w:eastAsiaTheme="minorEastAsia" w:hAnsi="Times New Roman" w:cs="Times New Roman"/>
          <w:sz w:val="32"/>
          <w:szCs w:val="32"/>
          <w:lang w:eastAsia="zh-CN"/>
        </w:rPr>
        <w:t>患者的诊断</w:t>
      </w:r>
    </w:p>
    <w:p w14:paraId="675EC161" w14:textId="392D96C8" w:rsidR="002F0390" w:rsidRPr="0035238A" w:rsidRDefault="002F0390" w:rsidP="002F0390">
      <w:pPr>
        <w:rPr>
          <w:rFonts w:ascii="Times New Roman" w:eastAsiaTheme="minorEastAsia" w:hAnsi="Times New Roman" w:cs="Times New Roman"/>
          <w:lang w:eastAsia="zh-CN"/>
        </w:rPr>
      </w:pPr>
    </w:p>
    <w:p w14:paraId="24FE49C1" w14:textId="6488B910" w:rsidR="002F0390" w:rsidRPr="00FB112D" w:rsidRDefault="002F0390" w:rsidP="004D1097">
      <w:pPr>
        <w:spacing w:line="360" w:lineRule="auto"/>
        <w:rPr>
          <w:rFonts w:ascii="Times New Roman" w:eastAsiaTheme="minorEastAsia" w:hAnsi="Times New Roman" w:cs="Times New Roman"/>
          <w:sz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lang w:eastAsia="zh-CN"/>
        </w:rPr>
        <w:t>翻译</w:t>
      </w:r>
      <w:r w:rsidR="00B1593C" w:rsidRPr="00FB112D">
        <w:rPr>
          <w:rFonts w:ascii="Times New Roman" w:eastAsiaTheme="minorEastAsia" w:hAnsi="Times New Roman" w:cs="Times New Roman"/>
          <w:sz w:val="24"/>
          <w:lang w:eastAsia="zh-CN"/>
        </w:rPr>
        <w:t>：</w:t>
      </w:r>
      <w:r w:rsidRPr="00FB112D">
        <w:rPr>
          <w:rFonts w:ascii="Times New Roman" w:eastAsiaTheme="minorEastAsia" w:hAnsi="Times New Roman" w:cs="Times New Roman"/>
          <w:sz w:val="24"/>
          <w:lang w:eastAsia="zh-CN"/>
        </w:rPr>
        <w:t>李</w:t>
      </w:r>
      <w:r w:rsidR="00B1593C" w:rsidRPr="00FB112D">
        <w:rPr>
          <w:rFonts w:ascii="Times New Roman" w:eastAsiaTheme="minorEastAsia" w:hAnsi="Times New Roman" w:cs="Times New Roman"/>
          <w:sz w:val="24"/>
          <w:lang w:eastAsia="zh-CN"/>
        </w:rPr>
        <w:t xml:space="preserve"> </w:t>
      </w:r>
      <w:r w:rsidRPr="00FB112D">
        <w:rPr>
          <w:rFonts w:ascii="Times New Roman" w:eastAsiaTheme="minorEastAsia" w:hAnsi="Times New Roman" w:cs="Times New Roman"/>
          <w:sz w:val="24"/>
          <w:lang w:eastAsia="zh-CN"/>
        </w:rPr>
        <w:t>旭</w:t>
      </w:r>
      <w:r w:rsidRPr="00FB112D">
        <w:rPr>
          <w:rFonts w:ascii="Times New Roman" w:eastAsiaTheme="minorEastAsia" w:hAnsi="Times New Roman" w:cs="Times New Roman"/>
          <w:sz w:val="24"/>
          <w:lang w:eastAsia="zh-CN"/>
        </w:rPr>
        <w:t xml:space="preserve"> </w:t>
      </w:r>
      <w:r w:rsidR="00A96867">
        <w:rPr>
          <w:rFonts w:ascii="Times New Roman" w:eastAsiaTheme="minorEastAsia" w:hAnsi="Times New Roman" w:cs="Times New Roman"/>
          <w:sz w:val="24"/>
          <w:lang w:eastAsia="zh-CN"/>
        </w:rPr>
        <w:t xml:space="preserve"> </w:t>
      </w:r>
      <w:r w:rsidR="00A96867" w:rsidRPr="00A96867">
        <w:rPr>
          <w:rFonts w:ascii="Times New Roman" w:eastAsiaTheme="minorEastAsia" w:hAnsi="Times New Roman" w:cs="Times New Roman" w:hint="eastAsia"/>
          <w:sz w:val="24"/>
          <w:lang w:eastAsia="zh-CN"/>
        </w:rPr>
        <w:t>贵州省人民医院</w:t>
      </w:r>
    </w:p>
    <w:p w14:paraId="1020791B" w14:textId="77777777" w:rsidR="004D1097" w:rsidRPr="00FB112D" w:rsidRDefault="004D1097" w:rsidP="004D1097">
      <w:pPr>
        <w:spacing w:line="360" w:lineRule="auto"/>
        <w:rPr>
          <w:rFonts w:ascii="Times New Roman" w:eastAsiaTheme="minorEastAsia" w:hAnsi="Times New Roman" w:cs="Times New Roman"/>
          <w:sz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lang w:eastAsia="zh-CN"/>
        </w:rPr>
        <w:t>审校：周荣华</w:t>
      </w:r>
      <w:r w:rsidRPr="00FB112D">
        <w:rPr>
          <w:rFonts w:ascii="Times New Roman" w:eastAsiaTheme="minorEastAsia" w:hAnsi="Times New Roman" w:cs="Times New Roman"/>
          <w:sz w:val="24"/>
          <w:lang w:eastAsia="zh-CN"/>
        </w:rPr>
        <w:t xml:space="preserve">  </w:t>
      </w:r>
      <w:r w:rsidRPr="00FB112D">
        <w:rPr>
          <w:rFonts w:ascii="Times New Roman" w:eastAsiaTheme="minorEastAsia" w:hAnsi="Times New Roman" w:cs="Times New Roman"/>
          <w:sz w:val="24"/>
          <w:lang w:eastAsia="zh-CN"/>
        </w:rPr>
        <w:t>四川大学华西医院</w:t>
      </w:r>
    </w:p>
    <w:p w14:paraId="120D4EDE" w14:textId="77777777" w:rsidR="002F0390" w:rsidRPr="00FB112D" w:rsidRDefault="002F0390" w:rsidP="002F0390">
      <w:pPr>
        <w:rPr>
          <w:rFonts w:ascii="Times New Roman" w:eastAsiaTheme="minorEastAsia" w:hAnsi="Times New Roman" w:cs="Times New Roman"/>
          <w:lang w:eastAsia="zh-CN"/>
        </w:rPr>
      </w:pPr>
    </w:p>
    <w:p w14:paraId="34AF8C7F" w14:textId="39887C39" w:rsidR="001A557F" w:rsidRPr="00FB112D" w:rsidRDefault="00991253" w:rsidP="00991253">
      <w:pPr>
        <w:pStyle w:val="1"/>
        <w:spacing w:before="0" w:line="360" w:lineRule="auto"/>
        <w:ind w:left="0"/>
        <w:rPr>
          <w:rFonts w:ascii="Times New Roman" w:eastAsiaTheme="minorEastAsia" w:hAnsi="Times New Roman" w:cs="Times New Roman"/>
          <w:lang w:eastAsia="zh-CN"/>
        </w:rPr>
      </w:pPr>
      <w:r w:rsidRPr="00FB112D">
        <w:rPr>
          <w:rFonts w:ascii="Times New Roman" w:eastAsiaTheme="minorEastAsia" w:hAnsi="Times New Roman" w:cs="Times New Roman"/>
          <w:lang w:eastAsia="zh-CN"/>
        </w:rPr>
        <w:t>【</w:t>
      </w:r>
      <w:r w:rsidR="00421883" w:rsidRPr="00FB112D">
        <w:rPr>
          <w:rFonts w:ascii="Times New Roman" w:eastAsiaTheme="minorEastAsia" w:hAnsi="Times New Roman" w:cs="Times New Roman"/>
          <w:lang w:eastAsia="zh-CN"/>
        </w:rPr>
        <w:t>摘</w:t>
      </w:r>
      <w:r w:rsidR="00421883" w:rsidRPr="00FB112D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421883" w:rsidRPr="00FB112D">
        <w:rPr>
          <w:rFonts w:ascii="Times New Roman" w:eastAsiaTheme="minorEastAsia" w:hAnsi="Times New Roman" w:cs="Times New Roman"/>
          <w:lang w:eastAsia="zh-CN"/>
        </w:rPr>
        <w:t>要</w:t>
      </w:r>
      <w:r w:rsidRPr="00FB112D">
        <w:rPr>
          <w:rFonts w:ascii="Times New Roman" w:eastAsiaTheme="minorEastAsia" w:hAnsi="Times New Roman" w:cs="Times New Roman"/>
          <w:lang w:eastAsia="zh-CN"/>
        </w:rPr>
        <w:t>】</w:t>
      </w:r>
    </w:p>
    <w:p w14:paraId="1D4F9224" w14:textId="02A6D724" w:rsidR="001A557F" w:rsidRPr="00FB112D" w:rsidRDefault="00421883" w:rsidP="00753F68">
      <w:pPr>
        <w:pStyle w:val="4"/>
        <w:spacing w:line="360" w:lineRule="auto"/>
        <w:ind w:left="0" w:firstLineChars="200" w:firstLine="482"/>
        <w:rPr>
          <w:rFonts w:ascii="Times New Roman" w:eastAsiaTheme="minorEastAsia" w:hAnsi="Times New Roman" w:cs="Times New Roman"/>
          <w:i w:val="0"/>
          <w:i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i w:val="0"/>
          <w:iCs/>
          <w:sz w:val="24"/>
          <w:szCs w:val="24"/>
          <w:lang w:eastAsia="zh-CN"/>
        </w:rPr>
        <w:t>背景：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肝素诱导血小板减少</w:t>
      </w:r>
      <w:r w:rsidR="00B01C54"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症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（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）是一种严重的药物诱导反应，</w:t>
      </w:r>
      <w:r w:rsidR="00B01C54"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并可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危及</w:t>
      </w:r>
      <w:r w:rsidR="00B01C54"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患者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生命。通常发生在肝素后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5-10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天</w:t>
      </w:r>
      <w:r w:rsidR="00B01C54"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，</w:t>
      </w:r>
      <w:r w:rsidR="0098534C"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出现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抗血小板因子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4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（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PF4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）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/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肝素复合物的血小板活化抗体。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的诊断是一个挑战，因为血小板减少</w:t>
      </w:r>
      <w:r w:rsidR="00991253"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在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重症监护（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b w:val="0"/>
          <w:bCs w:val="0"/>
          <w:i w:val="0"/>
          <w:iCs/>
          <w:sz w:val="24"/>
          <w:szCs w:val="24"/>
          <w:lang w:eastAsia="zh-CN"/>
        </w:rPr>
        <w:t>）患者中比较常见，特别是在体外膜肺氧合治疗期间。</w:t>
      </w:r>
    </w:p>
    <w:p w14:paraId="10A636B6" w14:textId="77777777" w:rsidR="001A557F" w:rsidRPr="00FB112D" w:rsidRDefault="00421883" w:rsidP="00753F68">
      <w:pPr>
        <w:pStyle w:val="1"/>
        <w:spacing w:before="0" w:line="360" w:lineRule="auto"/>
        <w:ind w:left="0" w:firstLineChars="200" w:firstLine="482"/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目的：</w:t>
      </w:r>
      <w:r w:rsidRPr="00FB112D"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zh-CN"/>
        </w:rPr>
        <w:t>探讨</w:t>
      </w:r>
      <w:r w:rsidRPr="00FB112D"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zh-CN"/>
        </w:rPr>
        <w:t>诊断方式在</w:t>
      </w:r>
      <w:r w:rsidRPr="00FB112D"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b w:val="0"/>
          <w:bCs w:val="0"/>
          <w:iCs/>
          <w:sz w:val="24"/>
          <w:szCs w:val="24"/>
          <w:lang w:eastAsia="zh-CN"/>
        </w:rPr>
        <w:t>患者中的应用效果。</w:t>
      </w:r>
    </w:p>
    <w:p w14:paraId="7DB7C8F3" w14:textId="4B7D1A92" w:rsidR="001A557F" w:rsidRPr="00FB112D" w:rsidRDefault="00421883" w:rsidP="00753F68">
      <w:pPr>
        <w:pStyle w:val="a3"/>
        <w:spacing w:line="360" w:lineRule="auto"/>
        <w:ind w:firstLineChars="200" w:firstLine="482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方法：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本研究包括在使用普通肝素治疗下发生血小板减少或血栓形成的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患者。采用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4T</w:t>
      </w:r>
      <w:r w:rsidR="002A5CB4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s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评分评估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的预测试概率，用两种快速免疫分析（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RA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）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LFI-HIT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和</w:t>
      </w:r>
      <w:proofErr w:type="spellStart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PaGIA</w:t>
      </w:r>
      <w:proofErr w:type="spellEnd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（来自</w:t>
      </w:r>
      <w:proofErr w:type="spellStart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Milenia</w:t>
      </w:r>
      <w:proofErr w:type="spellEnd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Biotec</w:t>
      </w:r>
      <w:proofErr w:type="spellEnd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和</w:t>
      </w:r>
      <w:proofErr w:type="spellStart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DiaMed</w:t>
      </w:r>
      <w:proofErr w:type="spellEnd"/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）对患者血清进行临时检测，并在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72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小时内使用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IgG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酶免疫分析（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EIA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）和肝素诱导血小板活化分析（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HIPA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）。</w:t>
      </w:r>
    </w:p>
    <w:p w14:paraId="6F9FF4F6" w14:textId="25076E98" w:rsidR="001A557F" w:rsidRPr="00FB112D" w:rsidRDefault="00421883" w:rsidP="00753F68">
      <w:pPr>
        <w:pStyle w:val="a3"/>
        <w:spacing w:line="360" w:lineRule="auto"/>
        <w:ind w:firstLineChars="200" w:firstLine="482"/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结果</w:t>
      </w:r>
      <w:r w:rsidR="00991253" w:rsidRPr="00FB112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：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本研究共纳入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392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例疑似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的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患者，其中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83/392(21.2%)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例患者</w:t>
      </w:r>
      <w:r w:rsidR="00235550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为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体外循环</w:t>
      </w:r>
      <w:r w:rsidR="00235550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患者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。</w:t>
      </w:r>
      <w:r w:rsidR="00422A84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分别有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120/392(30.6%)</w:t>
      </w:r>
      <w:r w:rsidR="00422A84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和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98/392(25.0%)</w:t>
      </w:r>
      <w:r w:rsidR="00422A84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患者的血清显示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RA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和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IgG</w:t>
      </w:r>
      <w:r w:rsidR="00422A84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 xml:space="preserve"> 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EIA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阳性。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HIPA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检测显示，共有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15/392 (3.8%)</w:t>
      </w:r>
      <w:r w:rsidR="00422A84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患者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(3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例内科患者和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12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例外科患者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)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存在肝素依赖性血小板活化。此外，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7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例患者的血清显示不确定的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HIPA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结果，其中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2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例患者的临床病程与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相符。</w:t>
      </w:r>
    </w:p>
    <w:p w14:paraId="09B361C4" w14:textId="11989E70" w:rsidR="00991253" w:rsidRPr="00FB112D" w:rsidRDefault="00421883" w:rsidP="004022C4">
      <w:pPr>
        <w:pStyle w:val="a3"/>
        <w:spacing w:line="360" w:lineRule="auto"/>
        <w:ind w:firstLineChars="200" w:firstLine="482"/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  <w:t>结论：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我们的研究数据证实了使用普通肝素的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患者中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IgG PF4/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肝素抗体的出现率较高，表明</w:t>
      </w:r>
      <w:r w:rsidR="00880D1F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4Ts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评分和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RA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的结合并</w:t>
      </w:r>
      <w:r w:rsidR="00880D1F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不能减少实验室对这些患者</w:t>
      </w:r>
      <w:r w:rsidR="00880D1F"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的过度检查。</w:t>
      </w:r>
    </w:p>
    <w:p w14:paraId="25A91FB3" w14:textId="77777777" w:rsidR="00991253" w:rsidRPr="00FB112D" w:rsidRDefault="00991253" w:rsidP="00991253">
      <w:pPr>
        <w:pStyle w:val="a3"/>
        <w:ind w:firstLineChars="200" w:firstLine="482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zh-CN"/>
        </w:rPr>
      </w:pPr>
    </w:p>
    <w:p w14:paraId="63FFD992" w14:textId="3AA1980F" w:rsidR="001A557F" w:rsidRPr="00FB112D" w:rsidRDefault="00753F68">
      <w:pPr>
        <w:pStyle w:val="a3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前言</w:t>
      </w:r>
    </w:p>
    <w:p w14:paraId="6EB7A2CD" w14:textId="56B04BC3" w:rsidR="001A557F" w:rsidRPr="00FB112D" w:rsidRDefault="00421883" w:rsidP="00AC331B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普通肝素（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UFH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）和低分子肝素（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LMWH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）是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应用最广泛的抗凝剂，都有引起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的风险。接触肝素的患者体内</w:t>
      </w:r>
      <w:r w:rsidR="008A3E17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形成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多分子复合物，包括带负电荷的肝素和阳离子蛋白血小板因子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 (PF4)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，导致许多产生抗体。然而，只有少数患者才出现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，其特点是无论有无血栓栓塞，在肝素治疗的第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天至第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天后，血小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板计数下降。对于高度怀疑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的患者，必须停止使用肝素，改用非肝素抗凝剂进行抗凝。对疑似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</w:t>
      </w:r>
      <w:r w:rsidR="008A3E17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，应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进行快速、可靠的诊断检查，尽量避免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患者血栓形成</w:t>
      </w:r>
      <w:r w:rsidR="00295FE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、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或非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295FE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性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血小板减少引起的出血。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广泛研究的</w:t>
      </w:r>
      <w:r w:rsidR="0080540A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4Ts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评分系统</w:t>
      </w:r>
      <w:r w:rsidR="0080540A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有助于</w:t>
      </w:r>
      <w:r w:rsidR="0080540A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确定哪些患者不太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可能是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。然而，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多种因素导致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</w:t>
      </w:r>
      <w:r w:rsidR="00AC331B">
        <w:rPr>
          <w:rFonts w:ascii="Times New Roman" w:eastAsiaTheme="minorEastAsia" w:hAnsi="Times New Roman" w:cs="Times New Roman"/>
          <w:sz w:val="24"/>
          <w:szCs w:val="24"/>
          <w:lang w:eastAsia="zh-CN"/>
        </w:rPr>
        <w:t>CU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</w:t>
      </w:r>
      <w:r w:rsidR="0080540A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血小板减少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033F0C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如败血症、败血症和非败血症性休克、创伤后和（非</w:t>
      </w:r>
      <w:r w:rsidR="00033F0C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033F0C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）免疫性血小板减少症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，血小板计数下降的时间可能很难由没有经验的医生评估，手术或心脏辅助装置的实施都可以影响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抗体分泌的时间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血栓形成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在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</w:t>
      </w:r>
      <w:r w:rsidR="00AC331B">
        <w:rPr>
          <w:rFonts w:ascii="Times New Roman" w:eastAsiaTheme="minorEastAsia" w:hAnsi="Times New Roman" w:cs="Times New Roman"/>
          <w:sz w:val="24"/>
          <w:szCs w:val="24"/>
          <w:lang w:eastAsia="zh-CN"/>
        </w:rPr>
        <w:t>CU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患者中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的常见性（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发生率为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5-15%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），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这些问题</w:t>
      </w:r>
      <w:r w:rsidR="00AC331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都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限制了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4Ts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评分在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患者中作为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排除工具，</w:t>
      </w:r>
      <w:r w:rsidR="00C231C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因其</w:t>
      </w:r>
      <w:r w:rsidR="00FD58F2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可导致过度</w:t>
      </w:r>
      <w:r w:rsidR="00C231C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检查。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在这项研究中，报告</w:t>
      </w:r>
      <w:r w:rsidR="003E4EE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了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我院内科和外科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患者中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诊断方法</w:t>
      </w:r>
      <w:r w:rsidR="003E4EE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的临床经验</w:t>
      </w:r>
      <w:r w:rsidR="0000416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，并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介绍了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</w:t>
      </w:r>
      <w:r w:rsidR="001A53D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E</w:t>
      </w:r>
      <w:r w:rsidR="001A53D8">
        <w:rPr>
          <w:rFonts w:ascii="Times New Roman" w:eastAsiaTheme="minorEastAsia" w:hAnsi="Times New Roman" w:cs="Times New Roman"/>
          <w:sz w:val="24"/>
          <w:szCs w:val="24"/>
          <w:lang w:eastAsia="zh-CN"/>
        </w:rPr>
        <w:t>CMO</w:t>
      </w:r>
      <w:r w:rsidR="0070046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疑似</w:t>
      </w:r>
      <w:r w:rsidR="0070046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H</w:t>
      </w:r>
      <w:r w:rsidR="00700463">
        <w:rPr>
          <w:rFonts w:ascii="Times New Roman" w:eastAsiaTheme="minorEastAsia" w:hAnsi="Times New Roman" w:cs="Times New Roman"/>
          <w:sz w:val="24"/>
          <w:szCs w:val="24"/>
          <w:lang w:eastAsia="zh-CN"/>
        </w:rPr>
        <w:t>IT</w:t>
      </w:r>
      <w:r w:rsidR="0070046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</w:t>
      </w:r>
      <w:r w:rsidR="002873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的临床治疗过程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</w:p>
    <w:p w14:paraId="2F61164F" w14:textId="77777777" w:rsidR="00FE2BCF" w:rsidRPr="00FB112D" w:rsidRDefault="00FE2BCF" w:rsidP="00FE2BCF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5ED87E3" w14:textId="77777777" w:rsidR="001A557F" w:rsidRPr="00FB112D" w:rsidRDefault="00421883">
      <w:pPr>
        <w:pStyle w:val="1"/>
        <w:spacing w:before="92"/>
        <w:ind w:left="0"/>
        <w:rPr>
          <w:rFonts w:ascii="Times New Roman" w:eastAsiaTheme="minorEastAsia" w:hAnsi="Times New Roman" w:cs="Times New Roman"/>
          <w:lang w:eastAsia="zh-CN"/>
        </w:rPr>
      </w:pPr>
      <w:r w:rsidRPr="00FB112D">
        <w:rPr>
          <w:rFonts w:ascii="Times New Roman" w:eastAsiaTheme="minorEastAsia" w:hAnsi="Times New Roman" w:cs="Times New Roman"/>
          <w:lang w:eastAsia="zh-CN"/>
        </w:rPr>
        <w:t>材料和方法</w:t>
      </w:r>
    </w:p>
    <w:p w14:paraId="5482DB37" w14:textId="77777777" w:rsidR="001A557F" w:rsidRPr="00FB112D" w:rsidRDefault="00421883" w:rsidP="00162C03">
      <w:pPr>
        <w:pStyle w:val="a3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研究设计</w:t>
      </w:r>
    </w:p>
    <w:p w14:paraId="3B20BF52" w14:textId="74DF19FC" w:rsidR="001A557F" w:rsidRPr="00FB112D" w:rsidRDefault="00421883" w:rsidP="00162C03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在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2016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月至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2018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月期间，</w:t>
      </w:r>
      <w:r w:rsidR="00FB112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纳入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我院外科</w:t>
      </w:r>
      <w:r w:rsidR="00FB112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的疑似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患者。纳入标准为年龄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&gt;18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岁，肝素治疗时间超过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天，血栓形成或开始肝素治疗后血小板计数显著下降（</w:t>
      </w:r>
      <w:r w:rsidR="00FB112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30%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），且既往无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史。</w:t>
      </w:r>
      <w:r w:rsidR="00EB2285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治疗医生</w:t>
      </w:r>
      <w:r w:rsidR="00EB228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采用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</w:t>
      </w:r>
      <w:r w:rsidR="00307B15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</w:t>
      </w:r>
      <w:r w:rsidR="00EB228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系统评估</w:t>
      </w:r>
      <w:r w:rsidR="00EB228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H</w:t>
      </w:r>
      <w:r w:rsidR="00EB2285">
        <w:rPr>
          <w:rFonts w:ascii="Times New Roman" w:eastAsiaTheme="minorEastAsia" w:hAnsi="Times New Roman" w:cs="Times New Roman"/>
          <w:sz w:val="24"/>
          <w:szCs w:val="24"/>
          <w:lang w:eastAsia="zh-CN"/>
        </w:rPr>
        <w:t>IT</w:t>
      </w:r>
      <w:r w:rsidR="00EB228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的可能性，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当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疑似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EB228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，则</w:t>
      </w:r>
      <w:r w:rsidR="00EB2285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收集血清</w:t>
      </w:r>
      <w:r w:rsidR="00C003DF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、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并在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72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小时内</w:t>
      </w:r>
      <w:r w:rsidR="00EB2285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用于实验室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检测。</w:t>
      </w:r>
    </w:p>
    <w:p w14:paraId="32BC29CF" w14:textId="5DE7C7BB" w:rsidR="00FE2BCF" w:rsidRPr="00FB112D" w:rsidRDefault="00FB112D" w:rsidP="00FB112D">
      <w:pPr>
        <w:pStyle w:val="a3"/>
        <w:tabs>
          <w:tab w:val="left" w:pos="7100"/>
        </w:tabs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</w:r>
    </w:p>
    <w:p w14:paraId="4D44AC47" w14:textId="60B2EAFF" w:rsidR="0095007F" w:rsidRPr="00AA0B65" w:rsidRDefault="0095007F" w:rsidP="00AA0B65">
      <w:pPr>
        <w:pStyle w:val="a3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95007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4Ts</w:t>
      </w:r>
      <w:r w:rsidRPr="0095007F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评分系统</w:t>
      </w:r>
      <w:r w:rsidR="00421883" w:rsidRPr="00AA0B65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评估</w:t>
      </w:r>
      <w:r w:rsidR="00421883" w:rsidRPr="00AA0B65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HIT</w:t>
      </w:r>
      <w:r w:rsidR="00421883" w:rsidRPr="00AA0B65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的可能性</w:t>
      </w:r>
    </w:p>
    <w:p w14:paraId="76F8FBF1" w14:textId="55CA4EFA" w:rsidR="00F82CB4" w:rsidRDefault="00421883" w:rsidP="00162C03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血小板计数下降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&gt;50%</w:t>
      </w:r>
      <w:r w:rsid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或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血小板最低</w:t>
      </w:r>
      <w:r w:rsidR="001E6D2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&gt;20×10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，在使用肝素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5-10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天内出现血小板减少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="009C0DCE" w:rsidRP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或者</w:t>
      </w:r>
      <w:r w:rsid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9C0DCE" w:rsidRP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如果在过去</w:t>
      </w:r>
      <w:r w:rsidR="009C0DCE" w:rsidRPr="009C0DCE">
        <w:rPr>
          <w:rFonts w:ascii="Times New Roman" w:eastAsiaTheme="minorEastAsia" w:hAnsi="Times New Roman" w:cs="Times New Roman"/>
          <w:sz w:val="24"/>
          <w:szCs w:val="24"/>
          <w:lang w:eastAsia="zh-CN"/>
        </w:rPr>
        <w:t>30</w:t>
      </w:r>
      <w:r w:rsidR="009C0DCE" w:rsidRP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天内以前接触过肝素，则</w:t>
      </w:r>
      <w:r w:rsidR="001E6D2D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≤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，血栓形成或其他后遗症</w:t>
      </w:r>
      <w:r w:rsid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（并无</w:t>
      </w:r>
      <w:r w:rsidR="009C0DCE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其他原因</w:t>
      </w:r>
      <w:r w:rsid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），</w:t>
      </w:r>
      <w:r w:rsid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则</w:t>
      </w:r>
      <w:r w:rsid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每项各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计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分；</w:t>
      </w:r>
    </w:p>
    <w:p w14:paraId="48B08EFC" w14:textId="386FB70D" w:rsidR="00F82CB4" w:rsidRDefault="00F82CB4" w:rsidP="00162C03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而血小板下降</w:t>
      </w:r>
      <w:r w:rsidRPr="00F82CB4">
        <w:rPr>
          <w:rFonts w:ascii="Times New Roman" w:eastAsiaTheme="minorEastAsia" w:hAnsi="Times New Roman" w:cs="Times New Roman"/>
          <w:sz w:val="24"/>
          <w:szCs w:val="24"/>
          <w:lang w:eastAsia="zh-CN"/>
        </w:rPr>
        <w:t>30-50%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或血小板最低值在</w:t>
      </w:r>
      <w:r w:rsidRPr="00F82CB4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-</w:t>
      </w:r>
      <w:r w:rsidRPr="00F82CB4">
        <w:rPr>
          <w:rFonts w:ascii="Times New Roman" w:eastAsiaTheme="minorEastAsia" w:hAnsi="Times New Roman" w:cs="Times New Roman"/>
          <w:sz w:val="24"/>
          <w:szCs w:val="24"/>
          <w:lang w:eastAsia="zh-CN"/>
        </w:rPr>
        <w:t>19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×</w:t>
      </w:r>
      <w:r w:rsidRPr="00F82CB4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F82CB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82CB4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之间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95007F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开始肝素治疗后第</w:t>
      </w:r>
      <w:r w:rsidR="0095007F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="0095007F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="0095007F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后</w:t>
      </w:r>
      <w:r w:rsidR="0095007F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血小板开始减少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P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或者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如果在过去</w:t>
      </w:r>
      <w:r w:rsidRPr="009C0DCE">
        <w:rPr>
          <w:rFonts w:ascii="Times New Roman" w:eastAsiaTheme="minorEastAsia" w:hAnsi="Times New Roman" w:cs="Times New Roman"/>
          <w:sz w:val="24"/>
          <w:szCs w:val="24"/>
          <w:lang w:eastAsia="zh-CN"/>
        </w:rPr>
        <w:t>30</w:t>
      </w:r>
      <w:r w:rsidRPr="00F82CB4">
        <w:rPr>
          <w:rFonts w:ascii="Times New Roman" w:eastAsiaTheme="minorEastAsia" w:hAnsi="Times New Roman" w:cs="Times New Roman"/>
          <w:sz w:val="24"/>
          <w:szCs w:val="24"/>
          <w:lang w:eastAsia="zh-CN"/>
        </w:rPr>
        <w:t>-100</w:t>
      </w:r>
      <w:r w:rsidRPr="009C0DC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天接触过肝素，则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≤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进行性或复发性血栓形成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以及其他原因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导致的</w:t>
      </w:r>
      <w:r w:rsidRPr="00F82CB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血小板减少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，则每项各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计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1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分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；</w:t>
      </w:r>
    </w:p>
    <w:p w14:paraId="112ED83E" w14:textId="77777777" w:rsidR="00F12DD1" w:rsidRDefault="00421883" w:rsidP="00162C03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血小板下降低于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30%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或血小板最低值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&lt;10</w:t>
      </w:r>
      <w:r w:rsidR="0095007F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×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="00F12DD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血小板在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天内减少</w:t>
      </w:r>
      <w:r w:rsidR="00F12DD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proofErr w:type="gramStart"/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无近期</w:t>
      </w:r>
      <w:proofErr w:type="gramEnd"/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接触</w:t>
      </w:r>
      <w:r w:rsidR="00F12DD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无血栓形成</w:t>
      </w:r>
      <w:r w:rsidR="00F12DD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其他</w:t>
      </w:r>
      <w:r w:rsidR="00F12DD1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明确</w:t>
      </w:r>
      <w:r w:rsidR="00F12DD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原因</w:t>
      </w:r>
      <w:r w:rsidR="00F12DD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，则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各记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0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分。</w:t>
      </w:r>
    </w:p>
    <w:p w14:paraId="0E39409B" w14:textId="77777777" w:rsidR="00162C03" w:rsidRPr="00FB112D" w:rsidRDefault="00162C03" w:rsidP="00162C03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3CE17CD" w14:textId="77777777" w:rsidR="001A557F" w:rsidRPr="00FB112D" w:rsidRDefault="00421883" w:rsidP="00162C03">
      <w:pPr>
        <w:pStyle w:val="a3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抗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PF4/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肝素抗体的血清学研究</w:t>
      </w:r>
    </w:p>
    <w:p w14:paraId="6E717C6D" w14:textId="4C5D4B76" w:rsidR="00362C96" w:rsidRPr="004E2E9B" w:rsidRDefault="003158D6" w:rsidP="003158D6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研究期间使用了两种市售快速免疫分析法（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RAs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）：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2016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6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月前使用的横向流动免疫分析法（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LFI-HIT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proofErr w:type="spellStart"/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MileniaBiotec</w:t>
      </w:r>
      <w:proofErr w:type="spellEnd"/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Giessen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，德国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，以及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2016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月至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2018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月使用的颗粒凝胶免疫分析法（</w:t>
      </w:r>
      <w:proofErr w:type="spellStart"/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PaGIA</w:t>
      </w:r>
      <w:proofErr w:type="spellEnd"/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）（</w:t>
      </w:r>
      <w:proofErr w:type="spellStart"/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DiaMed</w:t>
      </w:r>
      <w:proofErr w:type="spellEnd"/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AG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，科隆，德国</w:t>
      </w:r>
      <w:r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="00362C9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</w:p>
    <w:p w14:paraId="35C6800C" w14:textId="4CF3E294" w:rsidR="003C2AF0" w:rsidRDefault="006231EB" w:rsidP="003C2AF0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pict w14:anchorId="7EA39C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98.3pt;margin-top:228.2pt;width:371.55pt;height:48pt;rotation:306;z-index:-251658752;mso-position-horizontal-relative:page;mso-width-relative:page;mso-height-relative:page" fillcolor="#e5e5e5" stroked="f">
            <v:textpath style="font-family:&quot;&amp;quot&quot;;font-size:48pt" trim="t" fitpath="t" string="Journal Pre-proof"/>
            <w10:wrap anchorx="page"/>
          </v:shape>
        </w:pict>
      </w:r>
      <w:r w:rsidR="003158D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所有血清均</w:t>
      </w:r>
      <w:r w:rsidR="00ED20D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进行</w:t>
      </w:r>
      <w:r w:rsidR="003158D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="003158D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特异性酶免疫分析（</w:t>
      </w:r>
      <w:r w:rsidR="003158D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EIA</w:t>
      </w:r>
      <w:r w:rsidR="00B40627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）（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商用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 EIA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Hyphen Biomed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Neuville sur Oise</w:t>
      </w:r>
      <w:r w:rsidR="004E2E9B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，法国）</w:t>
      </w:r>
      <w:r w:rsidR="00ED20D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和</w:t>
      </w:r>
      <w:r w:rsidR="003158D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="003158D6" w:rsidRPr="004E2E9B">
        <w:rPr>
          <w:rFonts w:ascii="Times New Roman" w:eastAsiaTheme="minorEastAsia" w:hAnsi="Times New Roman" w:cs="Times New Roman"/>
          <w:sz w:val="24"/>
          <w:szCs w:val="24"/>
          <w:lang w:eastAsia="zh-CN"/>
        </w:rPr>
        <w:t>功能测定。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试验是为了研究抗体激活血小板的能力。</w:t>
      </w:r>
    </w:p>
    <w:p w14:paraId="7A8EE77C" w14:textId="77777777" w:rsidR="00162C03" w:rsidRPr="00FB112D" w:rsidRDefault="00162C03" w:rsidP="00162C0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5C106C6" w14:textId="77777777" w:rsidR="001A557F" w:rsidRPr="00FB112D" w:rsidRDefault="00421883" w:rsidP="00162C03">
      <w:pPr>
        <w:pStyle w:val="1"/>
        <w:spacing w:before="0" w:line="360" w:lineRule="auto"/>
        <w:ind w:left="0"/>
        <w:rPr>
          <w:rFonts w:ascii="Times New Roman" w:eastAsiaTheme="minorEastAsia" w:hAnsi="Times New Roman" w:cs="Times New Roman"/>
          <w:lang w:eastAsia="zh-CN"/>
        </w:rPr>
      </w:pPr>
      <w:r w:rsidRPr="00FB112D">
        <w:rPr>
          <w:rFonts w:ascii="Times New Roman" w:eastAsiaTheme="minorEastAsia" w:hAnsi="Times New Roman" w:cs="Times New Roman"/>
          <w:lang w:eastAsia="zh-CN"/>
        </w:rPr>
        <w:t>结果</w:t>
      </w:r>
    </w:p>
    <w:p w14:paraId="0442208C" w14:textId="77777777" w:rsidR="00E749D2" w:rsidRDefault="00421883" w:rsidP="00162C03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2016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月至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2018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10292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名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患者在我院接受了两天以上的普通肝素治疗。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398/10292(3.9%)</w:t>
      </w:r>
      <w:r w:rsidR="00EB228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例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患者在肝素治疗期间有显著血小板计数下降和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或血栓形成，怀疑为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。其中有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名疑似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患者没有足够的</w:t>
      </w:r>
      <w:r w:rsidR="00ED6C3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血清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进行完整的抗体检测。因此，共纳入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392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名患者，内科</w:t>
      </w:r>
      <w:r w:rsidR="00ED6C38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名（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13.3%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），外科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ICU340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名（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86.7%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）。平均年龄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岁（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95%:62-65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），女性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123/392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31.4%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</w:t>
      </w:r>
      <w:r w:rsidR="00E749D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其中</w:t>
      </w:r>
      <w:r w:rsidR="00ED6C38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83/392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="00ED6C38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21.2%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）例</w:t>
      </w:r>
      <w:r w:rsidR="00ED6C3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为辅助时间超过</w:t>
      </w:r>
      <w:r w:rsidR="00ED6C38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24h</w:t>
      </w:r>
      <w:r w:rsidR="00ED6C3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的机械循环辅助患者（</w:t>
      </w:r>
      <w:r w:rsidR="00ED6C38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="00ED6C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ED6C38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76</w:t>
      </w:r>
      <w:r w:rsidR="00ED6C3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例，</w:t>
      </w:r>
      <w:r w:rsidR="00ED6C38" w:rsidRPr="00ED6C38">
        <w:rPr>
          <w:rFonts w:ascii="Times New Roman" w:eastAsiaTheme="minorEastAsia" w:hAnsi="Times New Roman" w:cs="Times New Roman"/>
          <w:sz w:val="24"/>
          <w:szCs w:val="24"/>
          <w:lang w:eastAsia="zh-CN"/>
        </w:rPr>
        <w:t>LVAD</w:t>
      </w:r>
      <w:r w:rsidR="00ED6C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ED6C38" w:rsidRPr="00ED6C38"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 w:rsidR="00ED6C3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例）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</w:p>
    <w:p w14:paraId="41017E33" w14:textId="20346900" w:rsidR="001A557F" w:rsidRDefault="00421883" w:rsidP="001D5A7D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在入院当天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及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提交血液样本进行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实验室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检查的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当天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，观察到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内科和外科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血小板计数</w:t>
      </w:r>
      <w:r w:rsidR="001D5A7D" w:rsidRP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相似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。血小板计数</w:t>
      </w:r>
      <w:r w:rsidR="006F45D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(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中位数</w:t>
      </w:r>
      <w:r w:rsidR="001D5A7D" w:rsidRPr="001D5A7D">
        <w:rPr>
          <w:rFonts w:ascii="Times New Roman" w:eastAsiaTheme="minorEastAsia" w:hAnsi="Times New Roman" w:cs="Times New Roman"/>
          <w:sz w:val="24"/>
          <w:szCs w:val="24"/>
          <w:lang w:eastAsia="zh-CN"/>
        </w:rPr>
        <w:t>[</w:t>
      </w:r>
      <w:r w:rsidR="001D5A7D" w:rsidRP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范围</w:t>
      </w:r>
      <w:r w:rsidR="001D5A7D" w:rsidRPr="001D5A7D">
        <w:rPr>
          <w:rFonts w:ascii="Times New Roman" w:eastAsiaTheme="minorEastAsia" w:hAnsi="Times New Roman" w:cs="Times New Roman"/>
          <w:sz w:val="24"/>
          <w:szCs w:val="24"/>
          <w:lang w:eastAsia="zh-CN"/>
        </w:rPr>
        <w:t>]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，入院当天分别为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168×10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/L[47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560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×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/L]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164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×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1D5A7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[20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595×10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/L]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p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=0.6334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；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实验室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检查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当天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分别为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64×10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/L[10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420×10</w:t>
      </w:r>
      <w:r w:rsidRPr="001D5A7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/L]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与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69×10</w:t>
      </w:r>
      <w:r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/L[2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608</w:t>
      </w:r>
      <w:r w:rsidR="001D5A7D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×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Pr="001D5A7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/L]</w:t>
      </w:r>
      <w:r w:rsidR="001D5A7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p=0.2410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</w:t>
      </w:r>
      <w:r w:rsidR="006F45D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有趣的是，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外科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="000B6A90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疑</w:t>
      </w:r>
      <w:r w:rsidR="000B6A90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似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患者接受肝素治疗的时间明显长</w:t>
      </w:r>
      <w:r w:rsidR="006F45D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于内科患者（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[1</w:t>
      </w:r>
      <w:r w:rsidR="00FE5F39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36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]</w:t>
      </w:r>
      <w:r w:rsidR="006F45D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vs. 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[1</w:t>
      </w:r>
      <w:r w:rsidR="00FE5F39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58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]</w:t>
      </w:r>
      <w:r w:rsidR="006F45D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,</w:t>
      </w:r>
      <w:r w:rsidR="006F45D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0B6A90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p 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=0.0246)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</w:p>
    <w:p w14:paraId="68D1F46C" w14:textId="77777777" w:rsidR="00FA6A0C" w:rsidRPr="00FE5F39" w:rsidRDefault="00FA6A0C" w:rsidP="00162C03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15338AD" w14:textId="599AD383" w:rsidR="001A557F" w:rsidRPr="00FB112D" w:rsidRDefault="00421883" w:rsidP="00162C0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筛选步骤</w:t>
      </w:r>
    </w:p>
    <w:p w14:paraId="20B22FFF" w14:textId="6281DCF7" w:rsidR="001A557F" w:rsidRPr="00FB112D" w:rsidRDefault="00A77690" w:rsidP="00162C03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≥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分（中位数：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[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]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CU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患者为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361/392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92.1%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）。内科和外科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无显著性差异（中位数：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5[1</w:t>
      </w:r>
      <w:r w:rsidR="00FE5F39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7]</w:t>
      </w:r>
      <w:r w:rsidR="00FE5F3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421883" w:rsidRPr="00FB112D">
        <w:rPr>
          <w:rFonts w:ascii="Times New Roman" w:eastAsiaTheme="minorEastAsia" w:hAnsi="Times New Roman" w:cs="Times New Roman"/>
          <w:i/>
          <w:iCs/>
          <w:sz w:val="24"/>
          <w:szCs w:val="24"/>
          <w:lang w:eastAsia="zh-CN"/>
        </w:rPr>
        <w:t>vs</w:t>
      </w:r>
      <w:r w:rsidR="00FE5F39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eastAsia="zh-CN"/>
        </w:rPr>
        <w:t>.</w:t>
      </w:r>
      <w:r w:rsidR="00FE5F39">
        <w:rPr>
          <w:rFonts w:ascii="Times New Roman" w:eastAsiaTheme="minorEastAsia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5[1</w:t>
      </w:r>
      <w:r w:rsidR="00FE5F39">
        <w:rPr>
          <w:rFonts w:ascii="Times New Roman" w:eastAsiaTheme="minorEastAsia" w:hAnsi="Times New Roman" w:cs="Times New Roman"/>
          <w:sz w:val="24"/>
          <w:szCs w:val="24"/>
          <w:lang w:eastAsia="zh-CN"/>
        </w:rPr>
        <w:t>~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8]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p=0.1937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检测结果显示，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13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/52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25.0%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例内科患者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呈阳性，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107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/340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31.5%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外科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CU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呈阳性。</w:t>
      </w:r>
    </w:p>
    <w:p w14:paraId="5D54A9B3" w14:textId="77777777" w:rsidR="00FA6A0C" w:rsidRPr="00FB112D" w:rsidRDefault="00FA6A0C" w:rsidP="00162C03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EE819E2" w14:textId="7F0BA55B" w:rsidR="001A557F" w:rsidRPr="00FB112D" w:rsidRDefault="00421883" w:rsidP="00162C0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外科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患者中抗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PF4/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肝素复合物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IgG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抗体的发生率</w:t>
      </w:r>
    </w:p>
    <w:p w14:paraId="5935E18B" w14:textId="35CC3698" w:rsidR="001A557F" w:rsidRPr="00FB112D" w:rsidRDefault="00421883" w:rsidP="00162C03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392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份血清中有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98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份显示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IgG-EIA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阳性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(25.0%)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  <w:r w:rsidR="00D44F5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内科</w:t>
      </w:r>
      <w:r w:rsidR="00D44F5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及外科</w:t>
      </w:r>
      <w:r w:rsidR="00D44F5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="00D44F5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</w:t>
      </w:r>
      <w:r w:rsidR="00D44F5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抗</w:t>
      </w:r>
      <w:r w:rsidR="00FE5F39" w:rsidRPr="00FE5F39">
        <w:rPr>
          <w:rFonts w:ascii="Times New Roman" w:eastAsiaTheme="minorEastAsia" w:hAnsi="Times New Roman" w:cs="Times New Roman"/>
          <w:sz w:val="24"/>
          <w:szCs w:val="24"/>
          <w:lang w:eastAsia="zh-CN"/>
        </w:rPr>
        <w:t>PF4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肝素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抗体</w:t>
      </w:r>
      <w:r w:rsidR="00FE5F3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阳性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的发生率和强度相似</w:t>
      </w:r>
      <w:r w:rsidR="00D44F5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16</w:t>
      </w:r>
      <w:r w:rsidR="00FE5F3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/52</w:t>
      </w:r>
      <w:r w:rsidR="00FE5F3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="00FE5F3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30.8%</w:t>
      </w:r>
      <w:r w:rsidR="00FE5F3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</w:t>
      </w:r>
      <w:r w:rsidR="00D44F5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vs.</w:t>
      </w:r>
      <w:r w:rsidR="00D44F5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FE5F3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82</w:t>
      </w:r>
      <w:r w:rsidR="00FE5F3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340</w:t>
      </w:r>
      <w:r w:rsidR="00FE5F3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="00FE5F3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24.1%</w:t>
      </w:r>
      <w:r w:rsidR="00D44F5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p=0.5107</w:t>
      </w:r>
      <w:r w:rsidR="00D44F5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</w:p>
    <w:p w14:paraId="3F6DD481" w14:textId="77777777" w:rsidR="00FA6A0C" w:rsidRPr="00D44F54" w:rsidRDefault="00FA6A0C" w:rsidP="00162C03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31A87D0" w14:textId="080C7519" w:rsidR="001A557F" w:rsidRPr="00FB112D" w:rsidRDefault="00421883" w:rsidP="00162C0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HIPA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分析血小板活化的研究</w:t>
      </w:r>
    </w:p>
    <w:p w14:paraId="66C2FF55" w14:textId="3A478512" w:rsidR="0009634A" w:rsidRDefault="003448D6" w:rsidP="0009634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/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392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(3.8%)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例患者血清中检测到至少两种细胞悬液的肝素依赖性血小板活化</w:t>
      </w:r>
      <w:r w:rsidR="007345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，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加上高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4T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分数（中位数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6[4-7]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，</w:t>
      </w:r>
      <w:r w:rsidR="00104EC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分别有</w:t>
      </w:r>
      <w:r w:rsidR="00104EC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3/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52</w:t>
      </w:r>
      <w:r w:rsidR="00104EC2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(5.8%)</w:t>
      </w:r>
      <w:r w:rsidR="00104EC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例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内科患者</w:t>
      </w:r>
      <w:r w:rsidR="00104EC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和</w:t>
      </w:r>
      <w:r w:rsidR="00104EC2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12</w:t>
      </w:r>
      <w:r w:rsidR="00104EC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/</w:t>
      </w:r>
      <w:r w:rsidR="00104EC2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340(3.5%)</w:t>
      </w:r>
      <w:r w:rsidR="00104EC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例外科患者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确诊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为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HIT</w:t>
      </w:r>
      <w:r w:rsidR="0042188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，在肝素治疗下发生血栓形成或血小板计数下降。</w:t>
      </w:r>
    </w:p>
    <w:p w14:paraId="2BD8E2C6" w14:textId="15A85AAC" w:rsidR="001A557F" w:rsidRPr="00734593" w:rsidRDefault="00421883" w:rsidP="0009634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HIPA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阴性患者</w:t>
      </w:r>
      <w:r w:rsidR="0075701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的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4T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评分明显低于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HIPA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阳性患者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（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5[1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~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8]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vs. 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6[4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~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7]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，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p=0.0020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）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。与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HIPA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阳性患者相比，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HIPA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阴性患者的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ODs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显著降低（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0.150[0.059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~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3.468]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vs. 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2.120[0.620</w:t>
      </w:r>
      <w:r w:rsidR="00734593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~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3.173]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，</w:t>
      </w:r>
      <w:r w:rsidRPr="00734593">
        <w:rPr>
          <w:rFonts w:ascii="Times New Roman" w:eastAsia="宋体" w:hAnsi="Times New Roman" w:cs="Times New Roman"/>
          <w:i/>
          <w:iCs/>
          <w:sz w:val="24"/>
          <w:szCs w:val="24"/>
          <w:lang w:eastAsia="zh-CN"/>
        </w:rPr>
        <w:t>p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&lt;0.0001)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。疑</w:t>
      </w:r>
      <w:r w:rsidR="0009634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似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HIT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时</w:t>
      </w:r>
      <w:r w:rsidR="0009634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，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HIPA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阴性和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HIPA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阳性患者的血小板计数无差异（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68×10</w:t>
      </w:r>
      <w:r w:rsidRPr="00734593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9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/L[2</w:t>
      </w:r>
      <w:r w:rsidR="0009634A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~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608×10</w:t>
      </w:r>
      <w:r w:rsidRPr="00734593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9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/L]</w:t>
      </w:r>
      <w:r w:rsidR="0009634A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vs. 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65×10</w:t>
      </w:r>
      <w:r w:rsidRPr="00734593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9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/L[23</w:t>
      </w:r>
      <w:r w:rsidR="0009634A"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~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169×10</w:t>
      </w:r>
      <w:r w:rsidRPr="00734593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9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/L]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，</w:t>
      </w:r>
      <w:r w:rsidRPr="00734593">
        <w:rPr>
          <w:rFonts w:ascii="Times New Roman" w:eastAsia="宋体" w:hAnsi="Times New Roman" w:cs="Times New Roman"/>
          <w:i/>
          <w:iCs/>
          <w:sz w:val="24"/>
          <w:szCs w:val="24"/>
          <w:lang w:eastAsia="zh-CN"/>
        </w:rPr>
        <w:t>p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=0.235</w:t>
      </w:r>
      <w:r w:rsidRPr="00734593">
        <w:rPr>
          <w:rFonts w:ascii="Times New Roman" w:eastAsia="宋体" w:hAnsi="Times New Roman" w:cs="Times New Roman"/>
          <w:sz w:val="24"/>
          <w:szCs w:val="24"/>
          <w:lang w:eastAsia="zh-CN"/>
        </w:rPr>
        <w:t>）。</w:t>
      </w:r>
    </w:p>
    <w:p w14:paraId="1522E367" w14:textId="77777777" w:rsidR="00FA6A0C" w:rsidRPr="00FB112D" w:rsidRDefault="00FA6A0C" w:rsidP="00162C03">
      <w:pPr>
        <w:widowControl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DEE4E4D" w14:textId="60320AD6" w:rsidR="001A557F" w:rsidRPr="00FB112D" w:rsidRDefault="00421883" w:rsidP="00162C0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ICU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中疑似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的患者存在血栓栓塞</w:t>
      </w:r>
    </w:p>
    <w:p w14:paraId="6A3ECD5E" w14:textId="31D752D4" w:rsidR="001A557F" w:rsidRPr="00FB112D" w:rsidRDefault="00CD72EA" w:rsidP="00162C03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89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/391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22.7%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患者在肝素治疗下中有发生血栓栓塞。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其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中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23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/89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25.8%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检测到抗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PF4/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肝素复合物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抗体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；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/89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(7.9%)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IPA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检测到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能诱导血小板活化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03423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其中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份血清</w:t>
      </w:r>
      <w:r w:rsidR="0003423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为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肝素依赖型血小板活化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，另外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份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血清被稀释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(1/2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1/4)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时观察到与肝素无关的血小板活化。综上所述，有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例可以通过血清学证实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相关血栓形成，但有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例不能排除。</w:t>
      </w:r>
    </w:p>
    <w:p w14:paraId="5C290CED" w14:textId="77777777" w:rsidR="00FA6A0C" w:rsidRPr="00FB112D" w:rsidRDefault="00FA6A0C" w:rsidP="00162C03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24A1983" w14:textId="401E92EC" w:rsidR="00C676D4" w:rsidRPr="00C676D4" w:rsidRDefault="00421883" w:rsidP="00C676D4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ICU</w:t>
      </w:r>
      <w:r w:rsidR="00D05485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>中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确诊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HIT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患者的临床</w:t>
      </w:r>
      <w:r w:rsidR="00D05485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>治疗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过程</w:t>
      </w:r>
    </w:p>
    <w:p w14:paraId="51F684CD" w14:textId="70C073DC" w:rsidR="00C676D4" w:rsidRPr="00FB112D" w:rsidRDefault="00C676D4" w:rsidP="00162C03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的诊断是通过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分析中肝素依赖的血小板活化来确定的。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该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研究中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15</w:t>
      </w:r>
      <w:r w:rsidR="002B2B2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例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确诊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。出现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时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，应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立即开始非肝素抗凝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，本研究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使用阿加托班（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n=13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）和</w:t>
      </w:r>
      <w:proofErr w:type="gramStart"/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磺</w:t>
      </w:r>
      <w:proofErr w:type="gramEnd"/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达肝素（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n=2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）。值得注意的是，阿加托班组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4/13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30.8%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）和</w:t>
      </w:r>
      <w:proofErr w:type="gramStart"/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磺</w:t>
      </w:r>
      <w:proofErr w:type="gramEnd"/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达肝素组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2/2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100%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）在停用肝素后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48h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内血小板计数恢复。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然而，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尽管使用阿加托班进行替代性抗凝治疗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/15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13.3%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例</w:t>
      </w:r>
      <w:r w:rsidRPr="00C676D4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676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患者出现了新的血栓栓塞并发症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</w:t>
      </w:r>
      <w:r w:rsidRPr="00FB112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</w:p>
    <w:p w14:paraId="4989E822" w14:textId="77777777" w:rsidR="00FA6A0C" w:rsidRPr="00C676D4" w:rsidRDefault="00FA6A0C" w:rsidP="00162C03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DCF2196" w14:textId="2D794ED4" w:rsidR="001A557F" w:rsidRPr="00FB112D" w:rsidRDefault="00421883" w:rsidP="00162C0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不确定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H</w:t>
      </w:r>
      <w:r w:rsidR="00FC160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IT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病例</w:t>
      </w:r>
    </w:p>
    <w:p w14:paraId="7E4844D1" w14:textId="2304ACFF" w:rsidR="001A557F" w:rsidRDefault="00C76826" w:rsidP="00D05485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HIPA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检测中，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有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7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例高浓度肝素不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能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抑制血小板活化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，进一步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EIA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测试时，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例血清中无肝素诱导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抗体，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排除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。随后，这些病例重新开始肝素治疗。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其他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例患者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中，可检测到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PF4/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肝素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抗体</w:t>
      </w:r>
      <w:r w:rsidR="00FC160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，为不确定的</w:t>
      </w:r>
      <w:r w:rsidR="00FC160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H</w:t>
      </w:r>
      <w:r w:rsidR="00FC1604">
        <w:rPr>
          <w:rFonts w:ascii="Times New Roman" w:eastAsiaTheme="minorEastAsia" w:hAnsi="Times New Roman" w:cs="Times New Roman"/>
          <w:sz w:val="24"/>
          <w:szCs w:val="24"/>
          <w:lang w:eastAsia="zh-CN"/>
        </w:rPr>
        <w:t>IT</w:t>
      </w:r>
      <w:r w:rsidR="00FC160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病例，</w:t>
      </w:r>
      <w:r w:rsidR="00FC160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为了排除非</w:t>
      </w:r>
      <w:r w:rsidR="00FC160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FC1604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免疫复合物激活血小板，</w:t>
      </w:r>
      <w:r w:rsidR="00FC160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进一步扩大实验室检测。其处理及临床过程如下：</w:t>
      </w:r>
    </w:p>
    <w:p w14:paraId="056D6CDC" w14:textId="77777777" w:rsidR="007C6C7F" w:rsidRPr="00FB112D" w:rsidRDefault="007C6C7F" w:rsidP="00D05485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482415F2" w14:textId="76FA01A0" w:rsidR="001A557F" w:rsidRPr="00FB112D" w:rsidRDefault="00421883" w:rsidP="00162C03">
      <w:pPr>
        <w:widowControl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案例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1 </w:t>
      </w:r>
    </w:p>
    <w:p w14:paraId="011B824F" w14:textId="51F5EC91" w:rsidR="00233052" w:rsidRDefault="00233052" w:rsidP="00583EE1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患者，男，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岁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二尖瓣置换术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术后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心脏功能严重受损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而安置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VA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-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天）。术后第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天，尽管用肝素抗凝（</w:t>
      </w:r>
      <w:proofErr w:type="spell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aPTT</w:t>
      </w:r>
      <w:proofErr w:type="spell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：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1.5-2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倍，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50-60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秒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仍发生下腔静脉血栓形成（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IVC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proofErr w:type="gram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和亚段肺栓塞</w:t>
      </w:r>
      <w:proofErr w:type="gram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为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分。当对患者血清检测时，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EIA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显示阳性结果（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OD:0.60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；肝素非依赖性激活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4/4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）。抗凝转为阿加曲班（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 mg/kg/min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proofErr w:type="spell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aPTT</w:t>
      </w:r>
      <w:proofErr w:type="spellEnd"/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：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1.5-2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倍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、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50-60s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）。阿加</w:t>
      </w:r>
      <w:proofErr w:type="gram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曲班治疗</w:t>
      </w:r>
      <w:proofErr w:type="gram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后血小板计数迅速恢复，未见出血或新血栓形成。回顾</w:t>
      </w:r>
      <w:r w:rsidR="006415EE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性分析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Pr="0023305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由于血小板计数下降和血栓形成的时间点是在肝素暴露后</w:t>
      </w:r>
      <w:r w:rsidRPr="00233052">
        <w:rPr>
          <w:rFonts w:ascii="Times New Roman" w:eastAsiaTheme="minorEastAsia" w:hAnsi="Times New Roman" w:cs="Times New Roman"/>
          <w:sz w:val="24"/>
          <w:szCs w:val="24"/>
          <w:lang w:eastAsia="zh-CN"/>
        </w:rPr>
        <w:t>32</w:t>
      </w:r>
      <w:r w:rsidRPr="0023305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天，</w:t>
      </w:r>
      <w:r w:rsidRPr="00233052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23305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在该患者中似乎不太可能发生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</w:t>
      </w:r>
    </w:p>
    <w:p w14:paraId="62815CCD" w14:textId="77777777" w:rsidR="007C6C7F" w:rsidRPr="00FB112D" w:rsidRDefault="007C6C7F" w:rsidP="00583EE1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7665787" w14:textId="7024B8FD" w:rsidR="001A557F" w:rsidRPr="00FB112D" w:rsidRDefault="00421883" w:rsidP="00162C03">
      <w:pPr>
        <w:widowControl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案例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2</w:t>
      </w:r>
      <w:r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</w:p>
    <w:p w14:paraId="4E76A1F6" w14:textId="4DDFCFAB" w:rsidR="00D27CA6" w:rsidRPr="00FB112D" w:rsidRDefault="00EE71FD" w:rsidP="00343097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患者，男，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岁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因心肌梗塞入院。冠状动脉支架植入，在进一步的治疗过程中，出现急性呼吸窘迫综合征（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ARDS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），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安置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VV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-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，采用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普通肝素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康宁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，由于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患者合并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肾功能衰竭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而进行</w:t>
      </w:r>
      <w:r w:rsidR="00B023E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C</w:t>
      </w:r>
      <w:r w:rsidR="00B023E1">
        <w:rPr>
          <w:rFonts w:ascii="Times New Roman" w:eastAsiaTheme="minorEastAsia" w:hAnsi="Times New Roman" w:cs="Times New Roman"/>
          <w:sz w:val="24"/>
          <w:szCs w:val="24"/>
          <w:lang w:eastAsia="zh-CN"/>
        </w:rPr>
        <w:t>RRT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D27CA6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在第</w:t>
      </w:r>
      <w:r w:rsidR="00D27CA6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="00D27CA6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天，由于肝素和血液透析回路的凝血作用下</w:t>
      </w:r>
      <w:r w:rsid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D27CA6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血小板计数持续较低，怀疑</w:t>
      </w:r>
      <w:r w:rsidR="00D27CA6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D27CA6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患者血清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EIA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阳性（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OD:0.691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</w:t>
      </w:r>
      <w:r w:rsidR="00B557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不确定（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个供体中有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个供体的血小板不依赖肝素活化）。此外，患者在支架植入术后第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天和第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天发生了两次出血事件（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股</w:t>
      </w:r>
      <w:r w:rsidR="00B557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静脉插管处的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活动性出血）。由于患者的肝肾功能降低，并且有出血倾向</w:t>
      </w:r>
      <w:r w:rsidR="00B557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、而无血栓形成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，因此患者不符合所有临床相关的</w:t>
      </w:r>
      <w:r w:rsidR="00B55729" w:rsidRPr="00D27CA6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标准。因此，在严格控制血小板计数和临床病程的前提下</w:t>
      </w:r>
      <w:r w:rsidR="00B557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继续</w:t>
      </w:r>
      <w:r w:rsidR="00B557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肝素抗凝</w:t>
      </w:r>
      <w:r w:rsidR="00B55729" w:rsidRPr="00D27CA6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。出院前，血小板计数未见进一步下降</w:t>
      </w:r>
      <w:r w:rsidR="00B557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回顾性分析，我们认为血小板减少不是由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引起的，而是由血小板消耗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(ECMO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和出血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="00B55729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引起的。</w:t>
      </w:r>
    </w:p>
    <w:p w14:paraId="7A29D92D" w14:textId="77777777" w:rsidR="00FA6A0C" w:rsidRPr="00FB112D" w:rsidRDefault="00FA6A0C" w:rsidP="00162C03">
      <w:pPr>
        <w:widowControl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D62FF41" w14:textId="327D85FD" w:rsidR="001A557F" w:rsidRPr="00FB112D" w:rsidRDefault="00421883" w:rsidP="00162C03">
      <w:pPr>
        <w:widowControl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案例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3</w:t>
      </w:r>
    </w:p>
    <w:p w14:paraId="06B81208" w14:textId="17D2146B" w:rsidR="004F71CC" w:rsidRDefault="00931373" w:rsidP="00DB6DFB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lastRenderedPageBreak/>
        <w:t>患者，男，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岁，有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高血压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、冠状动脉疾病及外周动脉疾病病史，因怀疑肺炎合并呼吸功能不全而入院。</w:t>
      </w:r>
      <w:r w:rsid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安置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VV</w:t>
      </w:r>
      <w:r w:rsid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-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辅助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18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天，血小板计数降至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74</w:t>
      </w:r>
      <w:r w:rsidR="004F71CC">
        <w:rPr>
          <w:rFonts w:ascii="Times New Roman" w:eastAsiaTheme="minorEastAsia" w:hAnsi="Times New Roman" w:cs="Times New Roman"/>
          <w:sz w:val="24"/>
          <w:szCs w:val="24"/>
          <w:lang w:eastAsia="zh-CN"/>
        </w:rPr>
        <w:t>x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，怀疑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4Ts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评分为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分，抗凝转为</w:t>
      </w:r>
      <w:bookmarkStart w:id="0" w:name="OLE_LINK2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阿加曲班</w:t>
      </w:r>
      <w:bookmarkEnd w:id="0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1µg/kg/min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proofErr w:type="spell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aPTT</w:t>
      </w:r>
      <w:proofErr w:type="spell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：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1.5-2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倍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4F71CC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50-60s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）。血清学</w:t>
      </w:r>
      <w:r w:rsid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检测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显示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EIA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阳性（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OD:1.20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，受高肝素浓度抑制）</w:t>
      </w:r>
      <w:r w:rsid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、</w:t>
      </w:r>
      <w:r w:rsidR="004F71CC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不确定（</w:t>
      </w:r>
      <w:r w:rsidR="004F71CC" w:rsidRPr="004F71CC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4F71CC" w:rsidRP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个供体中有</w:t>
      </w:r>
      <w:r w:rsidR="004F71CC" w:rsidRPr="004F71CC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="004F71CC" w:rsidRP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个供体的肝素非依赖性血小板活化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天后，重复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试验，</w:t>
      </w:r>
      <w:bookmarkStart w:id="1" w:name="OLE_LINK7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测试结果证实肝素</w:t>
      </w:r>
      <w:r w:rsidR="004F71CC" w:rsidRP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非依赖性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血小板活化</w:t>
      </w:r>
      <w:bookmarkEnd w:id="1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。由于不能排除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，所以继续使用阿加曲班。在</w:t>
      </w:r>
      <w:r w:rsidR="004F71C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此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治疗过程中，血小板计数在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天内恢复到高于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150x10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，没有出血或新的血栓事件。回顾性分析，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是本例血小板减少的原因。</w:t>
      </w:r>
    </w:p>
    <w:p w14:paraId="71660E95" w14:textId="77777777" w:rsidR="007C6C7F" w:rsidRPr="00FA3CC3" w:rsidRDefault="007C6C7F" w:rsidP="00DB6DFB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B5A6897" w14:textId="77777777" w:rsidR="001A557F" w:rsidRPr="00FB112D" w:rsidRDefault="00421883" w:rsidP="00162C03">
      <w:pPr>
        <w:widowControl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案例</w:t>
      </w:r>
      <w:r w:rsidRPr="00FB112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4</w:t>
      </w:r>
    </w:p>
    <w:p w14:paraId="2B7D3D40" w14:textId="127E7F69" w:rsidR="001A557F" w:rsidRDefault="00A1630B" w:rsidP="006415EE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患者，男，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55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岁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因心肌梗塞入院。心肌梗死</w:t>
      </w:r>
      <w:r w:rsidR="00112D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导致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室间隔缺损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(VSD)</w:t>
      </w:r>
      <w:r w:rsidR="00112D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经皮</w:t>
      </w:r>
      <w:r w:rsidR="00112D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V</w:t>
      </w:r>
      <w:r w:rsidR="00112DD4">
        <w:rPr>
          <w:rFonts w:ascii="Times New Roman" w:eastAsiaTheme="minorEastAsia" w:hAnsi="Times New Roman" w:cs="Times New Roman"/>
          <w:sz w:val="24"/>
          <w:szCs w:val="24"/>
          <w:lang w:eastAsia="zh-CN"/>
        </w:rPr>
        <w:t>SD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封堵失败，入院后第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8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</w:t>
      </w:r>
      <w:r w:rsidR="00112DD4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安置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VA-ECMO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肝素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抗凝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天，采用体外循环（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CPB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）完全肝素化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下行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V</w:t>
      </w:r>
      <w:r w:rsidR="00BB483E">
        <w:rPr>
          <w:rFonts w:ascii="Times New Roman" w:eastAsiaTheme="minorEastAsia" w:hAnsi="Times New Roman" w:cs="Times New Roman"/>
          <w:sz w:val="24"/>
          <w:szCs w:val="24"/>
          <w:lang w:eastAsia="zh-CN"/>
        </w:rPr>
        <w:t>SD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修补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术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。肝素治疗后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6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天，血小板计数下降，第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天降至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48x10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，抗凝转为阿加曲班（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1μg/kg /min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proofErr w:type="spell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aPTT</w:t>
      </w:r>
      <w:proofErr w:type="spell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：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1.5-2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倍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50-60s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）。患者血清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检测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显示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EIA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结果阳性（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OD:0.64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）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、</w:t>
      </w:r>
      <w:r w:rsidR="00BB483E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HIPA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不确定（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个供体中有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个供体的肝素非依赖性血小板活化）。因为无法排除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="00BB483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继续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阿</w:t>
      </w:r>
      <w:proofErr w:type="gram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加曲班治疗</w:t>
      </w:r>
      <w:proofErr w:type="gram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。阿加</w:t>
      </w:r>
      <w:proofErr w:type="gramStart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曲班治疗</w:t>
      </w:r>
      <w:proofErr w:type="gramEnd"/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后血小板计数恢复到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166x10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9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/L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，未见出血和新血栓形成。回顾性分析，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="00421883" w:rsidRPr="00FB112D">
        <w:rPr>
          <w:rFonts w:ascii="Times New Roman" w:eastAsiaTheme="minorEastAsia" w:hAnsi="Times New Roman" w:cs="Times New Roman"/>
          <w:sz w:val="24"/>
          <w:szCs w:val="24"/>
          <w:lang w:eastAsia="zh-CN"/>
        </w:rPr>
        <w:t>似乎是本例血小板减少的原因。</w:t>
      </w:r>
    </w:p>
    <w:p w14:paraId="572D6285" w14:textId="03297AD0" w:rsidR="00CA3AE2" w:rsidRDefault="00CA3AE2" w:rsidP="00CA3AE2">
      <w:pPr>
        <w:widowControl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9591FA7" w14:textId="4293F665" w:rsidR="00CA3AE2" w:rsidRPr="00CA3AE2" w:rsidRDefault="00CA3AE2" w:rsidP="00CA3AE2">
      <w:pPr>
        <w:widowControl/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CA3AE2">
        <w:rPr>
          <w:rFonts w:ascii="Times New Roman" w:eastAsiaTheme="minorEastAsia" w:hAnsi="Times New Roman" w:cs="Times New Roman" w:hint="eastAsia"/>
          <w:b/>
          <w:bCs/>
          <w:sz w:val="28"/>
          <w:szCs w:val="28"/>
          <w:lang w:eastAsia="zh-CN"/>
        </w:rPr>
        <w:t>结论</w:t>
      </w:r>
    </w:p>
    <w:p w14:paraId="41605642" w14:textId="0552F32A" w:rsidR="00CA3AE2" w:rsidRPr="00FB112D" w:rsidRDefault="00CA3AE2" w:rsidP="00CA3AE2">
      <w:pPr>
        <w:widowControl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我们的研究显示了当前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诊断方法的挑战。血小板减少症和抗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PF4/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肝素复合物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免疫的高发生率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，影响了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4Ts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评分和快速免疫分析的标准化诊断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的作用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。结果表明，</w:t>
      </w:r>
      <w:proofErr w:type="spellStart"/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PaGIA</w:t>
      </w:r>
      <w:proofErr w:type="spellEnd"/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不仅能快速排除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，而且具有与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IgG-EIA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相似的性能特点。在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HIT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的诊断方法中，</w:t>
      </w:r>
      <w:proofErr w:type="spellStart"/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PaGIA</w:t>
      </w:r>
      <w:proofErr w:type="spellEnd"/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作为唯一的免疫分析方法尚需进一步研究。对于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ICU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患者，尤其是</w:t>
      </w:r>
      <w:r w:rsidRPr="00CA3AE2">
        <w:rPr>
          <w:rFonts w:ascii="Times New Roman" w:eastAsiaTheme="minorEastAsia" w:hAnsi="Times New Roman" w:cs="Times New Roman"/>
          <w:sz w:val="24"/>
          <w:szCs w:val="24"/>
          <w:lang w:eastAsia="zh-CN"/>
        </w:rPr>
        <w:t>ECMO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患者，还需要进一步的</w:t>
      </w:r>
      <w:r w:rsidR="004B479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关于新的检测及诊断方法的</w:t>
      </w:r>
      <w:r w:rsidRPr="00CA3AE2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研究。</w:t>
      </w:r>
    </w:p>
    <w:sectPr w:rsidR="00CA3AE2" w:rsidRPr="00FB11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5CCE" w14:textId="77777777" w:rsidR="006231EB" w:rsidRDefault="006231EB" w:rsidP="002F0390">
      <w:r>
        <w:separator/>
      </w:r>
    </w:p>
  </w:endnote>
  <w:endnote w:type="continuationSeparator" w:id="0">
    <w:p w14:paraId="69B0D7BF" w14:textId="77777777" w:rsidR="006231EB" w:rsidRDefault="006231EB" w:rsidP="002F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016052"/>
      <w:docPartObj>
        <w:docPartGallery w:val="Page Numbers (Bottom of Page)"/>
        <w:docPartUnique/>
      </w:docPartObj>
    </w:sdtPr>
    <w:sdtEndPr/>
    <w:sdtContent>
      <w:p w14:paraId="2EF10B0C" w14:textId="1DB6D1E1" w:rsidR="00FA6A0C" w:rsidRDefault="00FA6A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23F9B22" w14:textId="77777777" w:rsidR="00FA6A0C" w:rsidRDefault="00FA6A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5C855" w14:textId="77777777" w:rsidR="006231EB" w:rsidRDefault="006231EB" w:rsidP="002F0390">
      <w:r>
        <w:separator/>
      </w:r>
    </w:p>
  </w:footnote>
  <w:footnote w:type="continuationSeparator" w:id="0">
    <w:p w14:paraId="0F57B8B0" w14:textId="77777777" w:rsidR="006231EB" w:rsidRDefault="006231EB" w:rsidP="002F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B111C9"/>
    <w:rsid w:val="0000416C"/>
    <w:rsid w:val="00033F0C"/>
    <w:rsid w:val="00034233"/>
    <w:rsid w:val="0009634A"/>
    <w:rsid w:val="00096FFF"/>
    <w:rsid w:val="000B6A90"/>
    <w:rsid w:val="00104EC2"/>
    <w:rsid w:val="001074D3"/>
    <w:rsid w:val="00112DD4"/>
    <w:rsid w:val="0013570D"/>
    <w:rsid w:val="00142D4B"/>
    <w:rsid w:val="00150CDB"/>
    <w:rsid w:val="00155C94"/>
    <w:rsid w:val="00162C03"/>
    <w:rsid w:val="00190590"/>
    <w:rsid w:val="001A53D8"/>
    <w:rsid w:val="001A557F"/>
    <w:rsid w:val="001B3FD2"/>
    <w:rsid w:val="001D0251"/>
    <w:rsid w:val="001D0EAE"/>
    <w:rsid w:val="001D5A7D"/>
    <w:rsid w:val="001E6D2D"/>
    <w:rsid w:val="0020651F"/>
    <w:rsid w:val="00233052"/>
    <w:rsid w:val="00235550"/>
    <w:rsid w:val="00271A63"/>
    <w:rsid w:val="00287329"/>
    <w:rsid w:val="00295FE4"/>
    <w:rsid w:val="002A5CB4"/>
    <w:rsid w:val="002B2B25"/>
    <w:rsid w:val="002C2708"/>
    <w:rsid w:val="002F0390"/>
    <w:rsid w:val="00307B15"/>
    <w:rsid w:val="003158D6"/>
    <w:rsid w:val="00343097"/>
    <w:rsid w:val="003448D6"/>
    <w:rsid w:val="00345E85"/>
    <w:rsid w:val="0035238A"/>
    <w:rsid w:val="00362C96"/>
    <w:rsid w:val="0037210F"/>
    <w:rsid w:val="003C2AF0"/>
    <w:rsid w:val="003E4EE3"/>
    <w:rsid w:val="004022C4"/>
    <w:rsid w:val="00402421"/>
    <w:rsid w:val="00421883"/>
    <w:rsid w:val="00422A84"/>
    <w:rsid w:val="004367D2"/>
    <w:rsid w:val="00475992"/>
    <w:rsid w:val="00484795"/>
    <w:rsid w:val="004B4791"/>
    <w:rsid w:val="004D1097"/>
    <w:rsid w:val="004D3F01"/>
    <w:rsid w:val="004E2E9B"/>
    <w:rsid w:val="004F4EB0"/>
    <w:rsid w:val="004F71CC"/>
    <w:rsid w:val="00530A45"/>
    <w:rsid w:val="005443A3"/>
    <w:rsid w:val="00564443"/>
    <w:rsid w:val="00583EE1"/>
    <w:rsid w:val="005C6FC1"/>
    <w:rsid w:val="00603AED"/>
    <w:rsid w:val="006119B8"/>
    <w:rsid w:val="006231EB"/>
    <w:rsid w:val="006415EE"/>
    <w:rsid w:val="006C001D"/>
    <w:rsid w:val="006D1404"/>
    <w:rsid w:val="006E6CAF"/>
    <w:rsid w:val="006F45D8"/>
    <w:rsid w:val="00700463"/>
    <w:rsid w:val="00700E02"/>
    <w:rsid w:val="00724C67"/>
    <w:rsid w:val="00734593"/>
    <w:rsid w:val="00753F68"/>
    <w:rsid w:val="0075701B"/>
    <w:rsid w:val="007C6C7F"/>
    <w:rsid w:val="008053BE"/>
    <w:rsid w:val="0080540A"/>
    <w:rsid w:val="008060C0"/>
    <w:rsid w:val="00871EB7"/>
    <w:rsid w:val="00880D1F"/>
    <w:rsid w:val="008A3E17"/>
    <w:rsid w:val="008A5030"/>
    <w:rsid w:val="008B54F7"/>
    <w:rsid w:val="008D02C5"/>
    <w:rsid w:val="00921C36"/>
    <w:rsid w:val="00923199"/>
    <w:rsid w:val="00931373"/>
    <w:rsid w:val="0095007F"/>
    <w:rsid w:val="0098534C"/>
    <w:rsid w:val="00991253"/>
    <w:rsid w:val="009B375B"/>
    <w:rsid w:val="009C0DCE"/>
    <w:rsid w:val="009E6176"/>
    <w:rsid w:val="00A1498F"/>
    <w:rsid w:val="00A1630B"/>
    <w:rsid w:val="00A5428E"/>
    <w:rsid w:val="00A577D8"/>
    <w:rsid w:val="00A77690"/>
    <w:rsid w:val="00A96867"/>
    <w:rsid w:val="00AA0B65"/>
    <w:rsid w:val="00AA453E"/>
    <w:rsid w:val="00AB4200"/>
    <w:rsid w:val="00AC331B"/>
    <w:rsid w:val="00AD1306"/>
    <w:rsid w:val="00AD170A"/>
    <w:rsid w:val="00B01C54"/>
    <w:rsid w:val="00B023E1"/>
    <w:rsid w:val="00B1593C"/>
    <w:rsid w:val="00B40627"/>
    <w:rsid w:val="00B55729"/>
    <w:rsid w:val="00B5784E"/>
    <w:rsid w:val="00BB483E"/>
    <w:rsid w:val="00BE3438"/>
    <w:rsid w:val="00BE72AC"/>
    <w:rsid w:val="00C003DF"/>
    <w:rsid w:val="00C06A22"/>
    <w:rsid w:val="00C231C3"/>
    <w:rsid w:val="00C36AAC"/>
    <w:rsid w:val="00C676D4"/>
    <w:rsid w:val="00C76826"/>
    <w:rsid w:val="00CA3AE2"/>
    <w:rsid w:val="00CB68D2"/>
    <w:rsid w:val="00CD72EA"/>
    <w:rsid w:val="00D05485"/>
    <w:rsid w:val="00D12E3E"/>
    <w:rsid w:val="00D20BD4"/>
    <w:rsid w:val="00D20BF4"/>
    <w:rsid w:val="00D27CA6"/>
    <w:rsid w:val="00D44F54"/>
    <w:rsid w:val="00D8250F"/>
    <w:rsid w:val="00D87B18"/>
    <w:rsid w:val="00DB6DFB"/>
    <w:rsid w:val="00E14CE4"/>
    <w:rsid w:val="00E630B1"/>
    <w:rsid w:val="00E749D2"/>
    <w:rsid w:val="00EB2285"/>
    <w:rsid w:val="00ED20D2"/>
    <w:rsid w:val="00ED6C38"/>
    <w:rsid w:val="00EE71FD"/>
    <w:rsid w:val="00EF3D40"/>
    <w:rsid w:val="00F0750C"/>
    <w:rsid w:val="00F12DD1"/>
    <w:rsid w:val="00F23BE3"/>
    <w:rsid w:val="00F82CB4"/>
    <w:rsid w:val="00FA3CC3"/>
    <w:rsid w:val="00FA6A0C"/>
    <w:rsid w:val="00FB112D"/>
    <w:rsid w:val="00FC1604"/>
    <w:rsid w:val="00FD58F2"/>
    <w:rsid w:val="00FE2BCF"/>
    <w:rsid w:val="00FE5F39"/>
    <w:rsid w:val="05F80A4E"/>
    <w:rsid w:val="0A2B744E"/>
    <w:rsid w:val="0FA91F75"/>
    <w:rsid w:val="15B111C9"/>
    <w:rsid w:val="19B11407"/>
    <w:rsid w:val="1A041550"/>
    <w:rsid w:val="1E4C496F"/>
    <w:rsid w:val="20EB0506"/>
    <w:rsid w:val="29A71601"/>
    <w:rsid w:val="36C9443D"/>
    <w:rsid w:val="37270357"/>
    <w:rsid w:val="3F3E1D88"/>
    <w:rsid w:val="411220FC"/>
    <w:rsid w:val="51A40A5F"/>
    <w:rsid w:val="55BD7D2A"/>
    <w:rsid w:val="5946249C"/>
    <w:rsid w:val="626E4CA2"/>
    <w:rsid w:val="62B35CF4"/>
    <w:rsid w:val="676E17E3"/>
    <w:rsid w:val="6AA33BCD"/>
    <w:rsid w:val="6D0652A1"/>
    <w:rsid w:val="72A83A42"/>
    <w:rsid w:val="744343D3"/>
    <w:rsid w:val="75173FEA"/>
    <w:rsid w:val="779C4300"/>
    <w:rsid w:val="7F6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EBBFE4"/>
  <w15:docId w15:val="{CAF57439-7B3A-43A7-9396-C850E65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85"/>
      <w:ind w:left="2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1"/>
      <w:ind w:left="356"/>
      <w:outlineLvl w:val="1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uiPriority w:val="1"/>
    <w:qFormat/>
    <w:pPr>
      <w:ind w:left="356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Normal (Web)"/>
    <w:basedOn w:val="a"/>
    <w:qFormat/>
    <w:rPr>
      <w:sz w:val="24"/>
    </w:rPr>
  </w:style>
  <w:style w:type="paragraph" w:styleId="a5">
    <w:name w:val="header"/>
    <w:basedOn w:val="a"/>
    <w:link w:val="a6"/>
    <w:rsid w:val="002F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0390"/>
    <w:rPr>
      <w:rFonts w:ascii="Arial" w:eastAsia="Arial" w:hAnsi="Arial" w:cs="Arial"/>
      <w:sz w:val="18"/>
      <w:szCs w:val="18"/>
      <w:lang w:eastAsia="en-US" w:bidi="en-US"/>
    </w:rPr>
  </w:style>
  <w:style w:type="paragraph" w:styleId="a7">
    <w:name w:val="footer"/>
    <w:basedOn w:val="a"/>
    <w:link w:val="a8"/>
    <w:uiPriority w:val="99"/>
    <w:rsid w:val="002F03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0390"/>
    <w:rPr>
      <w:rFonts w:ascii="Arial" w:eastAsia="Arial" w:hAnsi="Arial" w:cs="Arial"/>
      <w:sz w:val="18"/>
      <w:szCs w:val="18"/>
      <w:lang w:eastAsia="en-US" w:bidi="en-US"/>
    </w:rPr>
  </w:style>
  <w:style w:type="paragraph" w:styleId="a9">
    <w:name w:val="Balloon Text"/>
    <w:basedOn w:val="a"/>
    <w:link w:val="aa"/>
    <w:rsid w:val="00880D1F"/>
    <w:rPr>
      <w:sz w:val="18"/>
      <w:szCs w:val="18"/>
    </w:rPr>
  </w:style>
  <w:style w:type="character" w:customStyle="1" w:styleId="aa">
    <w:name w:val="批注框文本 字符"/>
    <w:basedOn w:val="a0"/>
    <w:link w:val="a9"/>
    <w:rsid w:val="00880D1F"/>
    <w:rPr>
      <w:rFonts w:ascii="Arial" w:eastAsia="Arial" w:hAnsi="Arial" w:cs="Arial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</dc:creator>
  <cp:lastModifiedBy>周 荣华</cp:lastModifiedBy>
  <cp:revision>153</cp:revision>
  <dcterms:created xsi:type="dcterms:W3CDTF">2020-04-13T06:26:00Z</dcterms:created>
  <dcterms:modified xsi:type="dcterms:W3CDTF">2020-04-22T10:44:00Z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