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rap="auto" w:vAnchor="margin" w:hAnchor="text" w:yAlign="inline"/>
        <w:spacing w:line="360" w:lineRule="auto"/>
        <w:jc w:val="center"/>
        <w:rPr>
          <w:rFonts w:hint="default" w:ascii="宋体" w:hAnsi="宋体" w:eastAsia="宋体" w:cs="宋体"/>
          <w:b/>
          <w:bCs/>
          <w:sz w:val="30"/>
          <w:szCs w:val="30"/>
        </w:rPr>
      </w:pPr>
      <w:r>
        <w:rPr>
          <w:b/>
          <w:bCs/>
        </w:rPr>
        <w:t xml:space="preserve"> </w:t>
      </w:r>
      <w:r>
        <w:rPr>
          <w:rFonts w:ascii="宋体" w:hAnsi="宋体" w:eastAsia="宋体" w:cs="宋体"/>
          <w:b/>
          <w:bCs/>
          <w:sz w:val="30"/>
          <w:szCs w:val="30"/>
        </w:rPr>
        <w:t>成人</w:t>
      </w:r>
      <w:r>
        <w:rPr>
          <w:rFonts w:hint="default" w:ascii="宋体" w:hAnsi="宋体" w:eastAsia="宋体" w:cs="宋体"/>
          <w:b/>
          <w:bCs/>
          <w:sz w:val="30"/>
          <w:szCs w:val="30"/>
        </w:rPr>
        <w:t>ECMO</w:t>
      </w:r>
      <w:r>
        <w:rPr>
          <w:rFonts w:ascii="宋体" w:hAnsi="宋体" w:eastAsia="宋体" w:cs="宋体"/>
          <w:b/>
          <w:bCs/>
          <w:sz w:val="30"/>
          <w:szCs w:val="30"/>
        </w:rPr>
        <w:t>患者凝血因子水平及凝血酶生成模式</w:t>
      </w:r>
    </w:p>
    <w:p>
      <w:pPr>
        <w:pStyle w:val="9"/>
        <w:framePr w:wrap="auto" w:vAnchor="margin" w:hAnchor="text" w:yAlign="inline"/>
        <w:spacing w:line="360" w:lineRule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/>
        </w:rPr>
      </w:pPr>
    </w:p>
    <w:p>
      <w:pPr>
        <w:pStyle w:val="9"/>
        <w:framePr w:wrap="auto" w:vAnchor="margin" w:hAnchor="text" w:yAlign="inline"/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  <w:lang w:val="en-US"/>
        </w:rPr>
        <w:t xml:space="preserve">翻译：蒋璇 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szCs w:val="24"/>
          <w:lang w:val="en-US"/>
        </w:rPr>
        <w:t>中国医科大学附属第一医院</w:t>
      </w:r>
    </w:p>
    <w:p>
      <w:pPr>
        <w:pStyle w:val="9"/>
        <w:framePr w:wrap="auto" w:vAnchor="margin" w:hAnchor="text" w:yAlign="inline"/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  <w:lang w:val="en-US"/>
        </w:rPr>
        <w:t xml:space="preserve">审校：周荣华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szCs w:val="24"/>
          <w:lang w:val="en-US"/>
        </w:rPr>
        <w:t>四川大学华西医院</w:t>
      </w:r>
    </w:p>
    <w:p>
      <w:pPr>
        <w:pStyle w:val="9"/>
        <w:framePr w:wrap="auto" w:vAnchor="margin" w:hAnchor="text" w:yAlign="inline"/>
        <w:spacing w:line="360" w:lineRule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/>
        </w:rPr>
      </w:pPr>
    </w:p>
    <w:p>
      <w:pPr>
        <w:pStyle w:val="9"/>
        <w:framePr w:wrap="auto" w:vAnchor="margin" w:hAnchor="text" w:yAlign="inline"/>
        <w:spacing w:line="360" w:lineRule="auto"/>
        <w:rPr>
          <w:rFonts w:hint="default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【摘要】</w:t>
      </w:r>
    </w:p>
    <w:p>
      <w:pPr>
        <w:pStyle w:val="9"/>
        <w:framePr w:wrap="auto" w:vAnchor="margin" w:hAnchor="text" w:yAlign="inline"/>
        <w:spacing w:line="360" w:lineRule="auto"/>
        <w:ind w:firstLine="482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背景：</w:t>
      </w:r>
      <w:r>
        <w:rPr>
          <w:rFonts w:ascii="宋体" w:hAnsi="宋体" w:eastAsia="宋体" w:cs="宋体"/>
          <w:sz w:val="24"/>
          <w:szCs w:val="24"/>
        </w:rPr>
        <w:t>体外膜氧合（ECMO）期间促凝血与抗凝血平衡的数据缺乏。我们假设成人ECMO患者的促凝和抗凝因子之间存在不失衡，从而导致异常的</w:t>
      </w:r>
      <w:r>
        <w:rPr>
          <w:rFonts w:ascii="宋体" w:hAnsi="宋体" w:eastAsia="宋体" w:cs="宋体"/>
          <w:sz w:val="24"/>
          <w:szCs w:val="24"/>
          <w:lang w:val="ja-JP" w:eastAsia="ja-JP"/>
        </w:rPr>
        <w:t>凝血酶生成</w:t>
      </w:r>
      <w:r>
        <w:rPr>
          <w:rFonts w:ascii="宋体" w:hAnsi="宋体" w:eastAsia="宋体" w:cs="宋体"/>
          <w:sz w:val="24"/>
          <w:szCs w:val="24"/>
        </w:rPr>
        <w:t>（TG）模式。</w:t>
      </w:r>
    </w:p>
    <w:p>
      <w:pPr>
        <w:pStyle w:val="9"/>
        <w:framePr w:wrap="auto" w:vAnchor="margin" w:hAnchor="text" w:yAlign="inline"/>
        <w:spacing w:line="360" w:lineRule="auto"/>
        <w:ind w:firstLine="482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方法：</w:t>
      </w:r>
      <w:r>
        <w:rPr>
          <w:rFonts w:ascii="宋体" w:hAnsi="宋体" w:eastAsia="宋体" w:cs="宋体"/>
          <w:sz w:val="24"/>
          <w:szCs w:val="24"/>
        </w:rPr>
        <w:t>20例成人</w:t>
      </w:r>
      <w:r>
        <w:rPr>
          <w:rFonts w:hint="default" w:ascii="宋体" w:hAnsi="宋体" w:eastAsia="宋体" w:cs="宋体"/>
          <w:sz w:val="24"/>
          <w:szCs w:val="24"/>
        </w:rPr>
        <w:t>VA-</w:t>
      </w:r>
      <w:r>
        <w:rPr>
          <w:rFonts w:ascii="宋体" w:hAnsi="宋体" w:eastAsia="宋体" w:cs="宋体"/>
          <w:sz w:val="24"/>
          <w:szCs w:val="24"/>
        </w:rPr>
        <w:t>ECMO患者，在ECMO的第1天、第2天、第3天和第5天分别测定促凝和抗凝因子水平。在肝素中和的血浆中，用校准的血栓弹力图评估TG模式和对活化蛋白C的敏感性。将滞后时间、TG峰值和内源性凝血酶时间（ETP）deng</w:t>
      </w:r>
      <w:r>
        <w:rPr>
          <w:rFonts w:hint="default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TG参数与从商业供应商获得的5个正常血浆对照组（3例男性和2例女性）进行比较。在部分样品中加入血栓调节蛋白 (TM)，以评估活化蛋白C的耐药性。</w:t>
      </w:r>
    </w:p>
    <w:p>
      <w:pPr>
        <w:pStyle w:val="9"/>
        <w:framePr w:wrap="auto" w:vAnchor="margin" w:hAnchor="text" w:yAlign="inline"/>
        <w:spacing w:line="360" w:lineRule="auto"/>
        <w:ind w:firstLine="482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结果</w:t>
      </w:r>
      <w:r>
        <w:rPr>
          <w:rFonts w:ascii="宋体" w:hAnsi="宋体" w:eastAsia="宋体" w:cs="宋体"/>
          <w:sz w:val="24"/>
          <w:szCs w:val="24"/>
        </w:rPr>
        <w:t>：促凝血因子（FⅡ、FV和FX）大多处于正常参考范围内，并在ECMO前5天逐渐升高（P=.022，&lt;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ascii="宋体" w:hAnsi="宋体" w:eastAsia="宋体" w:cs="宋体"/>
          <w:sz w:val="24"/>
          <w:szCs w:val="24"/>
        </w:rPr>
        <w:t>001，&lt;.001</w:t>
      </w:r>
      <w:r>
        <w:rPr>
          <w:rFonts w:hint="default"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>。FⅧ水平在所有时间点均升高，且没有变化（P=.766）。相反，FⅪ处于低正常值范围，但在ECMO期间并未增加（P=.093）。抗凝血酶（AT）和蛋白C水平低于正常水平，但在前5天升高（P=.002和P=.014）。与对照组相比，肝素酶处理的样品滞后时间延长、TG峰值升高、ETP升高。 ECMO第1天或第2天的滞后时间的平均差值位6.0分钟（99％置信区间[CI]，2.8-9.2），TG峰值=193.4（99％CI，122.5-264.3），ETP=1170.4（99％CI，723.2-1617.6）。体外TM处理后，TG参数的差异明显，ECMO样品对TM处理不敏感。 ECMO第1天或第2天滞后时间的平均差值为9.3分钟（99％CI，6.2–12.4），TG峰值=233.0（99％CI，140.9-325.1），ETP=1322.5（99％CI，764.8-1880.2） ）。ECMO第3天和第5天TG参数也有类似差异。</w:t>
      </w:r>
    </w:p>
    <w:p>
      <w:pPr>
        <w:pStyle w:val="9"/>
        <w:framePr w:wrap="auto" w:vAnchor="margin" w:hAnchor="text" w:yAlign="inline"/>
        <w:spacing w:line="360" w:lineRule="auto"/>
        <w:ind w:firstLine="482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结论：</w:t>
      </w:r>
      <w:r>
        <w:rPr>
          <w:rFonts w:hint="default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接触激活发生在ECMO期间，但促凝因子水平通常保持不变。虽然肝素中和的TG有所延迟，但在高FVIII、低AT和蛋白C水平下，TG峰值和ETP都是超常的。对TM的抗性也很明显。这些变化揭示了成人VA-ECMO高凝的可能机制。</w:t>
      </w:r>
    </w:p>
    <w:p>
      <w:pPr>
        <w:pStyle w:val="9"/>
        <w:framePr w:wrap="auto" w:vAnchor="margin" w:hAnchor="text" w:yAlign="inline"/>
        <w:spacing w:line="360" w:lineRule="auto"/>
        <w:rPr>
          <w:rFonts w:hint="default" w:ascii="宋体" w:hAnsi="宋体" w:eastAsia="宋体" w:cs="宋体"/>
          <w:sz w:val="24"/>
          <w:szCs w:val="24"/>
        </w:rPr>
      </w:pPr>
    </w:p>
    <w:p>
      <w:pPr>
        <w:pStyle w:val="9"/>
        <w:framePr w:wrap="auto" w:vAnchor="margin" w:hAnchor="text" w:yAlign="inline"/>
        <w:spacing w:line="360" w:lineRule="auto"/>
        <w:rPr>
          <w:rFonts w:hint="default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主要研究内容</w:t>
      </w:r>
    </w:p>
    <w:p>
      <w:pPr>
        <w:pStyle w:val="9"/>
        <w:framePr w:wrap="auto" w:vAnchor="margin" w:hAnchor="text" w:yAlign="inline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ECMO患者仍面临出血风险，可能导致严重的并发症甚至死亡。然而，ECMO导致的凝血病（EIC）仍不清楚。vWF丢失、血小板聚集功能受损可能是其中机制之一。促凝因子及抗凝因子的消耗，尤其是促凝因子缺乏可能是导致EIC的机制。本研究的目的是测量成人VA- ECMO患者体内的促凝及抗凝因子水平及凝血酶生成模式，验证是否存在因子的失衡从而导致异常的凝血酶生成模式。</w:t>
      </w:r>
    </w:p>
    <w:p>
      <w:pPr>
        <w:pStyle w:val="9"/>
        <w:framePr w:wrap="auto" w:vAnchor="margin" w:hAnchor="text" w:yAlign="inline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研究纳入了20例成人由于心源性休克使用VA-ECMO的患者。5例正常成人纳入对照组。在各时间点抽取患者血液离心，使用试剂盒测定所有促凝因子、蛋白C、D二聚体水平、抗凝血酶水平和凝血酶-抗凝血酶复合物水平。凝血酶生成模式依据说明书进行测定。使用血栓弹力图进行滞后时间、TG峰值及内源性凝血酶活性测定。</w:t>
      </w:r>
    </w:p>
    <w:p>
      <w:pPr>
        <w:pStyle w:val="9"/>
        <w:framePr w:wrap="auto" w:vAnchor="margin" w:hAnchor="text" w:yAlign="inline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结果显示，20例VA-ECMO患者中，前5天辅助过程中，其促凝因子及抗凝因子都有所增加，并随患者的状态好转有所改善。促凝血因子水平基本正常，除了2种内在途径因子外，FⅪ处于低正常范围但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未升高，而</w:t>
      </w:r>
      <w:r>
        <w:rPr>
          <w:rFonts w:ascii="宋体" w:hAnsi="宋体" w:eastAsia="宋体" w:cs="宋体"/>
          <w:sz w:val="24"/>
          <w:szCs w:val="24"/>
        </w:rPr>
        <w:t>FVⅢ在所有时间点均升高。 ECMO期间的TAT复杂水平（15–20μg/ L）不如先前报道的体外循环（CPB）患者的水平（50–100μg/ L）高，这表明在ECMO过程中，即使AT水平低，肝素抗凝仍充分抑制了凝血酶生成。 凝血酶生成模式的特点是滞后时间延长、峰值TG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升高和</w:t>
      </w:r>
      <w:r>
        <w:rPr>
          <w:rFonts w:ascii="宋体" w:hAnsi="宋体" w:eastAsia="宋体" w:cs="宋体"/>
          <w:sz w:val="24"/>
          <w:szCs w:val="24"/>
        </w:rPr>
        <w:t>ETP升高。 综上所述，在ECMO期间，潜在的促凝-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抗凝因子平衡</w:t>
      </w:r>
      <w:r>
        <w:rPr>
          <w:rFonts w:ascii="宋体" w:hAnsi="宋体" w:eastAsia="宋体" w:cs="宋体"/>
          <w:sz w:val="24"/>
          <w:szCs w:val="24"/>
        </w:rPr>
        <w:t>仍向高凝状态倾斜。</w:t>
      </w:r>
    </w:p>
    <w:p>
      <w:pPr>
        <w:pStyle w:val="9"/>
        <w:framePr w:wrap="auto" w:vAnchor="margin" w:hAnchor="text" w:yAlign="inline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9"/>
        <w:framePr w:wrap="auto" w:vAnchor="margin" w:hAnchor="text" w:yAlign="inline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9"/>
        <w:framePr w:wrap="auto" w:vAnchor="margin" w:hAnchor="text" w:yAlign="inline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6118860" cy="4179570"/>
            <wp:effectExtent l="0" t="0" r="15240" b="11430"/>
            <wp:docPr id="7" name="图片 7" descr="翻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翻译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417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9"/>
        <w:framePr w:wrap="auto" w:vAnchor="margin" w:hAnchor="text" w:yAlign="inline"/>
        <w:spacing w:line="360" w:lineRule="auto"/>
        <w:ind w:firstLine="440" w:firstLineChars="200"/>
        <w:rPr>
          <w:rFonts w:hint="default" w:eastAsiaTheme="minorEastAsia"/>
        </w:rPr>
      </w:pPr>
    </w:p>
    <w:p>
      <w:pPr>
        <w:pStyle w:val="9"/>
        <w:framePr w:wrap="auto" w:vAnchor="margin" w:hAnchor="text" w:yAlign="inline"/>
        <w:spacing w:line="360" w:lineRule="auto"/>
        <w:ind w:firstLine="440" w:firstLineChars="200"/>
        <w:rPr>
          <w:rFonts w:hint="default" w:eastAsiaTheme="minorEastAsia"/>
        </w:rPr>
      </w:pPr>
    </w:p>
    <w:p>
      <w:pPr>
        <w:pStyle w:val="9"/>
        <w:framePr w:wrap="auto" w:vAnchor="margin" w:hAnchor="text" w:yAlign="inline"/>
        <w:spacing w:line="360" w:lineRule="auto"/>
        <w:ind w:firstLine="440" w:firstLineChars="200"/>
        <w:rPr>
          <w:rFonts w:hint="default" w:eastAsiaTheme="minorEastAsia"/>
        </w:rPr>
      </w:pPr>
    </w:p>
    <w:p>
      <w:pPr>
        <w:pStyle w:val="9"/>
        <w:framePr w:wrap="auto" w:vAnchor="margin" w:hAnchor="text" w:yAlign="inline"/>
        <w:spacing w:line="360" w:lineRule="auto"/>
        <w:ind w:firstLine="440" w:firstLineChars="200"/>
        <w:rPr>
          <w:rFonts w:hint="default" w:eastAsiaTheme="minorEastAsia"/>
        </w:rPr>
      </w:pPr>
    </w:p>
    <w:p>
      <w:pPr>
        <w:pStyle w:val="9"/>
        <w:framePr w:wrap="auto" w:vAnchor="margin" w:hAnchor="text" w:yAlign="inline"/>
        <w:spacing w:line="360" w:lineRule="auto"/>
        <w:ind w:firstLine="44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8225" cy="3473450"/>
            <wp:effectExtent l="0" t="0" r="15875" b="12700"/>
            <wp:docPr id="6" name="图片 6" descr="翻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翻译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framePr w:wrap="auto" w:vAnchor="margin" w:hAnchor="text" w:yAlign="inline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9"/>
        <w:framePr w:wrap="auto" w:vAnchor="margin" w:hAnchor="text" w:yAlign="inline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9"/>
        <w:framePr w:wrap="auto" w:vAnchor="margin" w:hAnchor="text" w:yAlign="inline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6116955" cy="3990340"/>
            <wp:effectExtent l="0" t="0" r="17145" b="10160"/>
            <wp:docPr id="5" name="图片 5" descr="翻译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翻译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framePr w:wrap="auto" w:vAnchor="margin" w:hAnchor="text" w:yAlign="inline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9"/>
        <w:framePr w:wrap="auto" w:vAnchor="margin" w:hAnchor="text" w:yAlign="inline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6118860" cy="3046095"/>
            <wp:effectExtent l="0" t="0" r="15240" b="1905"/>
            <wp:docPr id="4" name="图片 4" descr="翻译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翻译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7A"/>
    <w:rsid w:val="00174675"/>
    <w:rsid w:val="00240B42"/>
    <w:rsid w:val="002A2D47"/>
    <w:rsid w:val="003E3316"/>
    <w:rsid w:val="00500D4C"/>
    <w:rsid w:val="00520AEB"/>
    <w:rsid w:val="005338DC"/>
    <w:rsid w:val="005D3AC6"/>
    <w:rsid w:val="005D780F"/>
    <w:rsid w:val="00623CEC"/>
    <w:rsid w:val="00630715"/>
    <w:rsid w:val="00742046"/>
    <w:rsid w:val="007502B4"/>
    <w:rsid w:val="007836F6"/>
    <w:rsid w:val="007D2521"/>
    <w:rsid w:val="008316D8"/>
    <w:rsid w:val="009E4438"/>
    <w:rsid w:val="00A76258"/>
    <w:rsid w:val="00A77958"/>
    <w:rsid w:val="00AD5D0F"/>
    <w:rsid w:val="00AF69ED"/>
    <w:rsid w:val="00CA0421"/>
    <w:rsid w:val="00CB367A"/>
    <w:rsid w:val="00D87F4F"/>
    <w:rsid w:val="00D96128"/>
    <w:rsid w:val="00E20E97"/>
    <w:rsid w:val="00F53D1C"/>
    <w:rsid w:val="00F5731C"/>
    <w:rsid w:val="00F94B16"/>
    <w:rsid w:val="00FD2C04"/>
    <w:rsid w:val="7AC5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framePr/>
    </w:pPr>
    <w:rPr>
      <w:sz w:val="18"/>
      <w:szCs w:val="18"/>
    </w:rPr>
  </w:style>
  <w:style w:type="paragraph" w:styleId="3">
    <w:name w:val="footer"/>
    <w:basedOn w:val="1"/>
    <w:link w:val="11"/>
    <w:uiPriority w:val="0"/>
    <w:pPr>
      <w:framePr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framePr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正文1"/>
    <w:qFormat/>
    <w:uiPriority w:val="0"/>
    <w:pPr>
      <w:framePr w:wrap="around" w:vAnchor="margin" w:hAnchor="text" w:y="1"/>
    </w:pPr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character" w:customStyle="1" w:styleId="10">
    <w:name w:val="页眉 字符"/>
    <w:basedOn w:val="6"/>
    <w:link w:val="4"/>
    <w:qFormat/>
    <w:uiPriority w:val="0"/>
    <w:rPr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0"/>
    <w:rPr>
      <w:sz w:val="18"/>
      <w:szCs w:val="18"/>
      <w:lang w:eastAsia="en-US"/>
    </w:rPr>
  </w:style>
  <w:style w:type="character" w:customStyle="1" w:styleId="12">
    <w:name w:val="tgt"/>
    <w:basedOn w:val="6"/>
    <w:qFormat/>
    <w:uiPriority w:val="0"/>
  </w:style>
  <w:style w:type="character" w:customStyle="1" w:styleId="13">
    <w:name w:val="批注框文本 字符"/>
    <w:basedOn w:val="6"/>
    <w:link w:val="2"/>
    <w:semiHidden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234</Words>
  <Characters>1334</Characters>
  <Lines>11</Lines>
  <Paragraphs>3</Paragraphs>
  <TotalTime>458</TotalTime>
  <ScaleCrop>false</ScaleCrop>
  <LinksUpToDate>false</LinksUpToDate>
  <CharactersWithSpaces>1565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2020-05-21T02:30:00Z</dcterms:created>
  <dc:creator>thinkpad</dc:creator>
  <cp:lastModifiedBy>Administrator</cp:lastModifiedBy>
  <dcterms:modified xsi:type="dcterms:W3CDTF">2020-06-03T06:36:37Z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