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6EDD3" w14:textId="72A24C7B" w:rsidR="00D5345C" w:rsidRPr="00F91B6C" w:rsidRDefault="00F91B6C" w:rsidP="00F91B6C">
      <w:pPr>
        <w:jc w:val="center"/>
        <w:rPr>
          <w:rFonts w:ascii="宋体" w:eastAsia="宋体" w:hAnsi="宋体"/>
          <w:b/>
          <w:bCs/>
          <w:sz w:val="30"/>
          <w:szCs w:val="30"/>
        </w:rPr>
      </w:pPr>
      <w:r w:rsidRPr="00F91B6C">
        <w:rPr>
          <w:rFonts w:ascii="宋体" w:eastAsia="宋体" w:hAnsi="宋体" w:hint="eastAsia"/>
          <w:b/>
          <w:bCs/>
          <w:sz w:val="30"/>
          <w:szCs w:val="30"/>
        </w:rPr>
        <w:t>E</w:t>
      </w:r>
      <w:r w:rsidRPr="00F91B6C">
        <w:rPr>
          <w:rFonts w:ascii="宋体" w:eastAsia="宋体" w:hAnsi="宋体"/>
          <w:b/>
          <w:bCs/>
          <w:sz w:val="30"/>
          <w:szCs w:val="30"/>
        </w:rPr>
        <w:t>CMO</w:t>
      </w:r>
      <w:r w:rsidR="0037361E" w:rsidRPr="00F91B6C">
        <w:rPr>
          <w:rFonts w:ascii="宋体" w:eastAsia="宋体" w:hAnsi="宋体"/>
          <w:b/>
          <w:bCs/>
          <w:sz w:val="30"/>
          <w:szCs w:val="30"/>
        </w:rPr>
        <w:t>中</w:t>
      </w:r>
      <w:r w:rsidR="0037361E" w:rsidRPr="00F91B6C">
        <w:rPr>
          <w:rFonts w:ascii="宋体" w:eastAsia="宋体" w:hAnsi="宋体" w:hint="eastAsia"/>
          <w:b/>
          <w:bCs/>
          <w:sz w:val="30"/>
          <w:szCs w:val="30"/>
        </w:rPr>
        <w:t>基于</w:t>
      </w:r>
      <w:r w:rsidR="0037361E" w:rsidRPr="00F91B6C">
        <w:rPr>
          <w:rFonts w:ascii="宋体" w:eastAsia="宋体" w:hAnsi="宋体"/>
          <w:b/>
          <w:bCs/>
          <w:sz w:val="30"/>
          <w:szCs w:val="30"/>
        </w:rPr>
        <w:t>抗</w:t>
      </w:r>
      <w:proofErr w:type="spellStart"/>
      <w:r w:rsidR="0037361E" w:rsidRPr="00F91B6C">
        <w:rPr>
          <w:rFonts w:ascii="宋体" w:eastAsia="宋体" w:hAnsi="宋体"/>
          <w:b/>
          <w:bCs/>
          <w:sz w:val="30"/>
          <w:szCs w:val="30"/>
        </w:rPr>
        <w:t>Xa</w:t>
      </w:r>
      <w:proofErr w:type="spellEnd"/>
      <w:r w:rsidR="0037361E" w:rsidRPr="00F91B6C">
        <w:rPr>
          <w:rFonts w:ascii="宋体" w:eastAsia="宋体" w:hAnsi="宋体"/>
          <w:b/>
          <w:bCs/>
          <w:sz w:val="30"/>
          <w:szCs w:val="30"/>
        </w:rPr>
        <w:t>因子抗凝</w:t>
      </w:r>
      <w:r>
        <w:rPr>
          <w:rFonts w:ascii="宋体" w:eastAsia="宋体" w:hAnsi="宋体" w:hint="eastAsia"/>
          <w:b/>
          <w:bCs/>
          <w:sz w:val="30"/>
          <w:szCs w:val="30"/>
        </w:rPr>
        <w:t>：</w:t>
      </w:r>
      <w:r w:rsidR="0037361E" w:rsidRPr="00F91B6C">
        <w:rPr>
          <w:rFonts w:ascii="宋体" w:eastAsia="宋体" w:hAnsi="宋体"/>
          <w:b/>
          <w:bCs/>
          <w:sz w:val="30"/>
          <w:szCs w:val="30"/>
        </w:rPr>
        <w:t>潜在问题和可能的解决方案</w:t>
      </w:r>
    </w:p>
    <w:p w14:paraId="7C3C55CC" w14:textId="77777777" w:rsidR="00427E8C" w:rsidRPr="00427E8C" w:rsidRDefault="00427E8C">
      <w:pPr>
        <w:jc w:val="center"/>
        <w:rPr>
          <w:rFonts w:ascii="宋体" w:eastAsia="宋体" w:hAnsi="宋体" w:hint="eastAsia"/>
          <w:sz w:val="30"/>
          <w:szCs w:val="30"/>
        </w:rPr>
      </w:pPr>
    </w:p>
    <w:p w14:paraId="035EA43A" w14:textId="77777777" w:rsidR="00D5345C" w:rsidRDefault="0037361E" w:rsidP="0037361E">
      <w:pPr>
        <w:jc w:val="left"/>
        <w:rPr>
          <w:rFonts w:ascii="宋体" w:eastAsia="宋体" w:hAnsi="宋体"/>
          <w:sz w:val="24"/>
          <w:szCs w:val="24"/>
        </w:rPr>
      </w:pPr>
      <w:r>
        <w:rPr>
          <w:rFonts w:ascii="宋体" w:eastAsia="宋体" w:hAnsi="宋体" w:hint="eastAsia"/>
          <w:sz w:val="24"/>
          <w:szCs w:val="24"/>
        </w:rPr>
        <w:t>翻译：</w:t>
      </w:r>
      <w:proofErr w:type="gramStart"/>
      <w:r>
        <w:rPr>
          <w:rFonts w:ascii="宋体" w:eastAsia="宋体" w:hAnsi="宋体" w:hint="eastAsia"/>
          <w:sz w:val="24"/>
          <w:szCs w:val="24"/>
        </w:rPr>
        <w:t>陈瑾</w:t>
      </w:r>
      <w:proofErr w:type="gramEnd"/>
      <w:r>
        <w:rPr>
          <w:rFonts w:ascii="宋体" w:eastAsia="宋体" w:hAnsi="宋体" w:hint="eastAsia"/>
          <w:sz w:val="24"/>
          <w:szCs w:val="24"/>
        </w:rPr>
        <w:t xml:space="preserve">  武汉亚洲心脏病医院</w:t>
      </w:r>
    </w:p>
    <w:p w14:paraId="60CF0030" w14:textId="77777777" w:rsidR="0037361E" w:rsidRDefault="0037361E" w:rsidP="0037361E">
      <w:pPr>
        <w:jc w:val="left"/>
        <w:rPr>
          <w:rFonts w:ascii="宋体" w:eastAsia="宋体" w:hAnsi="宋体"/>
          <w:sz w:val="24"/>
          <w:szCs w:val="24"/>
        </w:rPr>
      </w:pPr>
      <w:r>
        <w:rPr>
          <w:rFonts w:ascii="宋体" w:eastAsia="宋体" w:hAnsi="宋体" w:hint="eastAsia"/>
          <w:sz w:val="24"/>
          <w:szCs w:val="24"/>
        </w:rPr>
        <w:t>审校：沈佳  上海儿童医学中心</w:t>
      </w:r>
    </w:p>
    <w:p w14:paraId="00471758" w14:textId="77777777" w:rsidR="00D5345C" w:rsidRDefault="00D5345C">
      <w:pPr>
        <w:jc w:val="left"/>
        <w:rPr>
          <w:rFonts w:ascii="宋体" w:eastAsia="宋体" w:hAnsi="宋体"/>
          <w:szCs w:val="21"/>
        </w:rPr>
      </w:pPr>
    </w:p>
    <w:p w14:paraId="42573FA5" w14:textId="77777777" w:rsidR="00D5345C" w:rsidRDefault="0037361E">
      <w:pPr>
        <w:spacing w:line="360" w:lineRule="auto"/>
        <w:jc w:val="left"/>
        <w:rPr>
          <w:rFonts w:ascii="宋体" w:eastAsia="宋体" w:hAnsi="宋体" w:cs="宋体"/>
          <w:b/>
          <w:bCs/>
          <w:sz w:val="24"/>
          <w:szCs w:val="24"/>
        </w:rPr>
      </w:pPr>
      <w:r>
        <w:rPr>
          <w:rFonts w:ascii="宋体" w:eastAsia="宋体" w:hAnsi="宋体" w:cs="宋体" w:hint="eastAsia"/>
          <w:b/>
          <w:bCs/>
          <w:sz w:val="28"/>
          <w:szCs w:val="28"/>
        </w:rPr>
        <w:t>【摘要】</w:t>
      </w:r>
    </w:p>
    <w:p w14:paraId="28316B05"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监测体外膜肺氧合（ECMO）患者的普通肝素（UFH）抗凝的选择包括活化凝血时间，活化部分凝血活酶时间，血栓弹力图的反应时间以及抗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因子活性（0.3</w:t>
      </w:r>
      <w:r>
        <w:rPr>
          <w:rFonts w:ascii="Arial" w:eastAsia="宋体" w:hAnsi="Arial" w:cs="Arial"/>
          <w:sz w:val="24"/>
          <w:szCs w:val="24"/>
        </w:rPr>
        <w:t>~</w:t>
      </w:r>
      <w:r>
        <w:rPr>
          <w:rFonts w:ascii="宋体" w:eastAsia="宋体" w:hAnsi="宋体" w:cs="宋体" w:hint="eastAsia"/>
          <w:sz w:val="24"/>
          <w:szCs w:val="24"/>
        </w:rPr>
        <w:t>0.7 IU/mL）。最近的研究提出抗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因子是监测ECMO中UFH抗凝的金标准。然而，综合许多外来因素，产生了对抗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因子是否能作为ECMO中监测UFH效果唯一方法的质疑。抗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因子是一种显色测定，经常可能会因ECMO患者的胆红素和游离血红蛋白的值升高而产生偏差。在抗凝血酶值低的情况下，该测试可能会低估UFH的影响。更重要的是，抗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因子测定是一种基于血浆的测试，未考虑到血小板和纤维蛋白原在形成稳定血凝块中的作用。合并血小板减少症和血小板功能障碍在ECMO患者中常见，如果仅使用抗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因子指导来调整UFH剂量，而低估它们的作用可能导致过度抗凝。相反，纤维蛋白原是一种急性期蛋白，某些患者在ECMO过程中可能会经历高水平的纤维蛋白原。在这种情况下，尽管抗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因子可能与血栓形成并发症相关，但它的UFH监测并不敏感。最后，通常建议的0.3</w:t>
      </w:r>
      <w:r>
        <w:rPr>
          <w:rFonts w:ascii="Arial" w:eastAsia="宋体" w:hAnsi="Arial" w:cs="Arial"/>
          <w:sz w:val="24"/>
          <w:szCs w:val="24"/>
        </w:rPr>
        <w:t>~</w:t>
      </w:r>
      <w:r>
        <w:rPr>
          <w:rFonts w:ascii="宋体" w:eastAsia="宋体" w:hAnsi="宋体" w:cs="宋体" w:hint="eastAsia"/>
          <w:sz w:val="24"/>
          <w:szCs w:val="24"/>
        </w:rPr>
        <w:t>0.7 IU/mL范围是基于治疗和预防非ECMO患者发生血栓事件大致估计的理想范围。综上所述，只有结合评估血小板和纤维蛋白原对血凝块形成的相对作用的全血检测，抗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因子才能提供有关UFH实际作用的有用信息。</w:t>
      </w:r>
    </w:p>
    <w:p w14:paraId="0AE36B06" w14:textId="77777777" w:rsidR="00D5345C" w:rsidRDefault="00D5345C">
      <w:pPr>
        <w:spacing w:line="360" w:lineRule="auto"/>
        <w:jc w:val="left"/>
        <w:rPr>
          <w:rFonts w:ascii="宋体" w:eastAsia="宋体" w:hAnsi="宋体" w:cs="宋体"/>
          <w:sz w:val="24"/>
          <w:szCs w:val="24"/>
        </w:rPr>
      </w:pPr>
    </w:p>
    <w:p w14:paraId="518D6E3D" w14:textId="77777777" w:rsidR="00D5345C" w:rsidRDefault="0037361E">
      <w:pPr>
        <w:spacing w:line="360" w:lineRule="auto"/>
        <w:jc w:val="left"/>
        <w:rPr>
          <w:rFonts w:ascii="宋体" w:eastAsia="宋体" w:hAnsi="宋体" w:cs="宋体"/>
          <w:sz w:val="24"/>
          <w:szCs w:val="24"/>
        </w:rPr>
      </w:pPr>
      <w:r>
        <w:rPr>
          <w:rFonts w:ascii="宋体" w:eastAsia="宋体" w:hAnsi="宋体" w:cs="宋体" w:hint="eastAsia"/>
          <w:b/>
          <w:bCs/>
          <w:sz w:val="24"/>
          <w:szCs w:val="24"/>
        </w:rPr>
        <w:t>【关键词】</w:t>
      </w:r>
      <w:r>
        <w:rPr>
          <w:rFonts w:ascii="宋体" w:eastAsia="宋体" w:hAnsi="宋体" w:cs="宋体" w:hint="eastAsia"/>
          <w:sz w:val="24"/>
          <w:szCs w:val="24"/>
        </w:rPr>
        <w:t>：体外膜氧合，抗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因子，普通肝素，血栓弹力图</w:t>
      </w:r>
    </w:p>
    <w:p w14:paraId="39CB08AE" w14:textId="77777777" w:rsidR="00D5345C" w:rsidRDefault="00D5345C">
      <w:pPr>
        <w:spacing w:line="360" w:lineRule="auto"/>
        <w:jc w:val="left"/>
        <w:rPr>
          <w:rFonts w:ascii="宋体" w:eastAsia="宋体" w:hAnsi="宋体" w:cs="宋体"/>
          <w:sz w:val="24"/>
          <w:szCs w:val="24"/>
        </w:rPr>
      </w:pPr>
    </w:p>
    <w:p w14:paraId="3D18D1FA"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体外膜氧合（ECMO）是一种可为心脏和肺部无法提供足够的气体交换或灌注以维持自身生命的患者提供后继循环与呼吸支持的体外技术。ECMO可用于儿童及成人的许多临床情况中，例如体外循环后，严重心力衰竭和/或肺衰竭的晚期治疗。尽管ECMO是一种挽救生命的治疗方法，但无论是静脉-静脉（VV）ECMO或静脉-动脉（VA）ECMO在所有年龄段的患者中都会出现多种出血和血栓形成的</w:t>
      </w:r>
      <w:r>
        <w:rPr>
          <w:rFonts w:ascii="宋体" w:eastAsia="宋体" w:hAnsi="宋体" w:cs="宋体" w:hint="eastAsia"/>
          <w:sz w:val="24"/>
          <w:szCs w:val="24"/>
        </w:rPr>
        <w:lastRenderedPageBreak/>
        <w:t>相关并发症。这些ECMO相关的出血和血栓形成并发症是死亡率增加的常见原因。出血部位包括插管和血管穿刺部位，肺，胃肠道，口鼻，胸腔，腹腔和大脑。血栓并发症包括管道回路和氧合器内的血栓形成，脑卒中，肢体缺血，心内血栓形成以及肺栓塞。</w:t>
      </w:r>
    </w:p>
    <w:p w14:paraId="7C3C4AB2"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尽管有可替代的抗凝剂（直接凝血酶抑制剂）在逐渐普及，ECMO患者的标准抗凝方案仍是基于静脉输注相应剂量的普通肝素（UFH），通常剂量在10</w:t>
      </w:r>
      <w:r>
        <w:rPr>
          <w:rFonts w:ascii="Arial" w:eastAsia="宋体" w:hAnsi="Arial" w:cs="Arial"/>
          <w:sz w:val="24"/>
          <w:szCs w:val="24"/>
        </w:rPr>
        <w:t>~</w:t>
      </w:r>
      <w:r>
        <w:rPr>
          <w:rFonts w:ascii="宋体" w:eastAsia="宋体" w:hAnsi="宋体" w:cs="宋体" w:hint="eastAsia"/>
          <w:sz w:val="24"/>
          <w:szCs w:val="24"/>
        </w:rPr>
        <w:t>50 IU/kg/h之间。普通肝素优于替代品的原因包括较低的成本，拮抗剂的可获得性以及临床使用者的熟悉程度。 目前基于不同的抗凝方法和不同治疗阈值的需求，对ECMO患者进行UFH抗凝监测包括四种可能的策略：（1）活化凝血时间（ACT）为140</w:t>
      </w:r>
      <w:r>
        <w:rPr>
          <w:rFonts w:ascii="Arial" w:eastAsia="宋体" w:hAnsi="Arial" w:cs="Arial"/>
          <w:sz w:val="24"/>
          <w:szCs w:val="24"/>
        </w:rPr>
        <w:t>~</w:t>
      </w:r>
      <w:r>
        <w:rPr>
          <w:rFonts w:ascii="宋体" w:eastAsia="宋体" w:hAnsi="宋体" w:cs="宋体" w:hint="eastAsia"/>
          <w:sz w:val="24"/>
          <w:szCs w:val="24"/>
        </w:rPr>
        <w:t>220秒；（2）活化部分凝血活酶时间（APTT）为40</w:t>
      </w:r>
      <w:r>
        <w:rPr>
          <w:rFonts w:ascii="Arial" w:eastAsia="宋体" w:hAnsi="Arial" w:cs="Arial"/>
          <w:sz w:val="24"/>
          <w:szCs w:val="24"/>
        </w:rPr>
        <w:t>~</w:t>
      </w:r>
      <w:r>
        <w:rPr>
          <w:rFonts w:ascii="宋体" w:eastAsia="宋体" w:hAnsi="宋体" w:cs="宋体" w:hint="eastAsia"/>
          <w:sz w:val="24"/>
          <w:szCs w:val="24"/>
        </w:rPr>
        <w:t>80秒或1.5</w:t>
      </w:r>
      <w:r>
        <w:rPr>
          <w:rFonts w:ascii="Arial" w:eastAsia="宋体" w:hAnsi="Arial" w:cs="Arial"/>
          <w:sz w:val="24"/>
          <w:szCs w:val="24"/>
        </w:rPr>
        <w:t>~</w:t>
      </w:r>
      <w:r>
        <w:rPr>
          <w:rFonts w:ascii="宋体" w:eastAsia="宋体" w:hAnsi="宋体" w:cs="宋体" w:hint="eastAsia"/>
          <w:sz w:val="24"/>
          <w:szCs w:val="24"/>
        </w:rPr>
        <w:t>2.5（比率）；（3）使用血栓弹力图的反应时间在正常范围上限的1.5</w:t>
      </w:r>
      <w:r>
        <w:rPr>
          <w:rFonts w:ascii="Arial" w:eastAsia="宋体" w:hAnsi="Arial" w:cs="Arial"/>
          <w:sz w:val="24"/>
          <w:szCs w:val="24"/>
        </w:rPr>
        <w:t>~</w:t>
      </w:r>
      <w:r>
        <w:rPr>
          <w:rFonts w:ascii="宋体" w:eastAsia="宋体" w:hAnsi="宋体" w:cs="宋体" w:hint="eastAsia"/>
          <w:sz w:val="24"/>
          <w:szCs w:val="24"/>
        </w:rPr>
        <w:t>2.0之间；（4）抗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因子（anti-</w:t>
      </w:r>
      <w:proofErr w:type="spellStart"/>
      <w:r>
        <w:rPr>
          <w:rFonts w:ascii="宋体" w:eastAsia="宋体" w:hAnsi="宋体" w:cs="宋体" w:hint="eastAsia"/>
          <w:sz w:val="24"/>
          <w:szCs w:val="24"/>
        </w:rPr>
        <w:t>FXa</w:t>
      </w:r>
      <w:proofErr w:type="spellEnd"/>
      <w:r>
        <w:rPr>
          <w:rFonts w:ascii="宋体" w:eastAsia="宋体" w:hAnsi="宋体" w:cs="宋体" w:hint="eastAsia"/>
          <w:sz w:val="24"/>
          <w:szCs w:val="24"/>
        </w:rPr>
        <w:t>）活性在0.3</w:t>
      </w:r>
      <w:r>
        <w:rPr>
          <w:rFonts w:ascii="Arial" w:eastAsia="宋体" w:hAnsi="Arial" w:cs="Arial"/>
          <w:sz w:val="24"/>
          <w:szCs w:val="24"/>
        </w:rPr>
        <w:t>~</w:t>
      </w:r>
      <w:r>
        <w:rPr>
          <w:rFonts w:ascii="宋体" w:eastAsia="宋体" w:hAnsi="宋体" w:cs="宋体" w:hint="eastAsia"/>
          <w:sz w:val="24"/>
          <w:szCs w:val="24"/>
        </w:rPr>
        <w:t>0.7IU/mL之间。</w:t>
      </w:r>
    </w:p>
    <w:p w14:paraId="300A7791"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近年来，基于抗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因子的抗凝策略已获得广泛共识，不同的研究都主张其与其他可用方案相比的有优越性，并声称具有更好的预后或至少能降低异体血液制品的需求。</w:t>
      </w:r>
    </w:p>
    <w:p w14:paraId="1C99B48B"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本文试图概述为什么我们认为在ECMO中仅基于抗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因子进行UFH的抗凝管理是一种不合适的方法。</w:t>
      </w:r>
    </w:p>
    <w:p w14:paraId="4FAFFB2F" w14:textId="77777777" w:rsidR="00D5345C" w:rsidRDefault="00D5345C">
      <w:pPr>
        <w:spacing w:line="360" w:lineRule="auto"/>
        <w:jc w:val="left"/>
        <w:rPr>
          <w:rFonts w:ascii="宋体" w:eastAsia="宋体" w:hAnsi="宋体" w:cs="宋体"/>
          <w:sz w:val="24"/>
          <w:szCs w:val="24"/>
        </w:rPr>
      </w:pPr>
    </w:p>
    <w:p w14:paraId="2D4406E1" w14:textId="77777777" w:rsidR="00D5345C" w:rsidRPr="006315CE" w:rsidRDefault="0037361E">
      <w:pPr>
        <w:spacing w:line="360" w:lineRule="auto"/>
        <w:jc w:val="left"/>
        <w:rPr>
          <w:rFonts w:ascii="宋体" w:eastAsia="宋体" w:hAnsi="宋体" w:cs="宋体"/>
          <w:b/>
          <w:bCs/>
          <w:sz w:val="28"/>
          <w:szCs w:val="28"/>
        </w:rPr>
      </w:pPr>
      <w:r w:rsidRPr="006315CE">
        <w:rPr>
          <w:rFonts w:ascii="宋体" w:eastAsia="宋体" w:hAnsi="宋体" w:cs="宋体" w:hint="eastAsia"/>
          <w:b/>
          <w:bCs/>
          <w:sz w:val="28"/>
          <w:szCs w:val="28"/>
        </w:rPr>
        <w:t>抗</w:t>
      </w:r>
      <w:proofErr w:type="spellStart"/>
      <w:r w:rsidRPr="006315CE">
        <w:rPr>
          <w:rFonts w:ascii="宋体" w:eastAsia="宋体" w:hAnsi="宋体" w:cs="宋体" w:hint="eastAsia"/>
          <w:b/>
          <w:bCs/>
          <w:sz w:val="28"/>
          <w:szCs w:val="28"/>
        </w:rPr>
        <w:t>Xa</w:t>
      </w:r>
      <w:proofErr w:type="spellEnd"/>
      <w:r w:rsidRPr="006315CE">
        <w:rPr>
          <w:rFonts w:ascii="宋体" w:eastAsia="宋体" w:hAnsi="宋体" w:cs="宋体" w:hint="eastAsia"/>
          <w:b/>
          <w:bCs/>
          <w:sz w:val="28"/>
          <w:szCs w:val="28"/>
        </w:rPr>
        <w:t>因子检测的基础</w:t>
      </w:r>
    </w:p>
    <w:p w14:paraId="25C8A02F"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因子分析通过显色程序测量血浆中的肝素活性。通常，反应混合物包含外源因子</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w:t>
      </w:r>
      <w:proofErr w:type="spellStart"/>
      <w:r>
        <w:rPr>
          <w:rFonts w:ascii="宋体" w:eastAsia="宋体" w:hAnsi="宋体" w:cs="宋体" w:hint="eastAsia"/>
          <w:sz w:val="24"/>
          <w:szCs w:val="24"/>
        </w:rPr>
        <w:t>FXa</w:t>
      </w:r>
      <w:proofErr w:type="spellEnd"/>
      <w:r>
        <w:rPr>
          <w:rFonts w:ascii="宋体" w:eastAsia="宋体" w:hAnsi="宋体" w:cs="宋体" w:hint="eastAsia"/>
          <w:sz w:val="24"/>
          <w:szCs w:val="24"/>
        </w:rPr>
        <w:t>）和</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相关的“特异”显色底物。一些检测（“一阶段”）利用患者自己的抗凝血酶（AT），而大多数则基于外源性AT补充（“两阶段”）。含有肝素的抗凝血酶复合物可将其活性增强1,000至2,000倍，因此可有效抑制活化的</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因子。残留的未抑制的</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因子裂解显色底物，释放出在405 nm处光学读取的生色团，并且生色团的数量与肝素浓度成反比，然后根据先前运行的校准曲线以IU/mL表示。给定测试的发色性质，某些样品的低质量可能会被视为（“分析前”）限制因素，它将影响所测定的肝素浓度的准确性。具体而言，血浆中高浓度的胆红素（即黄疸），甘油三酸酯（即浊度）和/或无细胞的血红蛋白（即溶血）可能会在分析测试中产生重大干扰。使用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因子测试作为UFH水平的</w:t>
      </w:r>
      <w:r>
        <w:rPr>
          <w:rFonts w:ascii="宋体" w:eastAsia="宋体" w:hAnsi="宋体" w:cs="宋体" w:hint="eastAsia"/>
          <w:sz w:val="24"/>
          <w:szCs w:val="24"/>
        </w:rPr>
        <w:lastRenderedPageBreak/>
        <w:t>唯一衡量标准还有许多其他潜在的陷阱，这将在下一部分中概述。</w:t>
      </w:r>
    </w:p>
    <w:p w14:paraId="1CB5F8A1" w14:textId="77777777" w:rsidR="00FC7B25" w:rsidRDefault="00FC7B25">
      <w:pPr>
        <w:spacing w:line="360" w:lineRule="auto"/>
        <w:jc w:val="left"/>
        <w:rPr>
          <w:rFonts w:ascii="宋体" w:eastAsia="宋体" w:hAnsi="宋体" w:cs="宋体"/>
          <w:sz w:val="24"/>
          <w:szCs w:val="24"/>
        </w:rPr>
      </w:pPr>
    </w:p>
    <w:p w14:paraId="0C0FEBE5" w14:textId="666D7AA4" w:rsidR="00D5345C" w:rsidRPr="006315CE" w:rsidRDefault="006315CE">
      <w:pPr>
        <w:spacing w:line="360" w:lineRule="auto"/>
        <w:jc w:val="left"/>
        <w:rPr>
          <w:rFonts w:ascii="宋体" w:eastAsia="宋体" w:hAnsi="宋体" w:cs="宋体"/>
          <w:b/>
          <w:bCs/>
          <w:sz w:val="28"/>
          <w:szCs w:val="28"/>
        </w:rPr>
      </w:pPr>
      <w:r>
        <w:rPr>
          <w:rFonts w:ascii="宋体" w:eastAsia="宋体" w:hAnsi="宋体" w:cs="宋体" w:hint="eastAsia"/>
          <w:b/>
          <w:bCs/>
          <w:sz w:val="28"/>
          <w:szCs w:val="28"/>
        </w:rPr>
        <w:t>E</w:t>
      </w:r>
      <w:r>
        <w:rPr>
          <w:rFonts w:ascii="宋体" w:eastAsia="宋体" w:hAnsi="宋体" w:cs="宋体"/>
          <w:b/>
          <w:bCs/>
          <w:sz w:val="28"/>
          <w:szCs w:val="28"/>
        </w:rPr>
        <w:t>CMO</w:t>
      </w:r>
      <w:r w:rsidR="0037361E" w:rsidRPr="006315CE">
        <w:rPr>
          <w:rFonts w:ascii="宋体" w:eastAsia="宋体" w:hAnsi="宋体" w:cs="宋体" w:hint="eastAsia"/>
          <w:b/>
          <w:bCs/>
          <w:sz w:val="28"/>
          <w:szCs w:val="28"/>
        </w:rPr>
        <w:t>患者基于抗</w:t>
      </w:r>
      <w:proofErr w:type="spellStart"/>
      <w:r w:rsidR="0037361E" w:rsidRPr="006315CE">
        <w:rPr>
          <w:rFonts w:ascii="宋体" w:eastAsia="宋体" w:hAnsi="宋体" w:cs="宋体" w:hint="eastAsia"/>
          <w:b/>
          <w:bCs/>
          <w:sz w:val="28"/>
          <w:szCs w:val="28"/>
        </w:rPr>
        <w:t>Xa</w:t>
      </w:r>
      <w:proofErr w:type="spellEnd"/>
      <w:r w:rsidR="0037361E" w:rsidRPr="006315CE">
        <w:rPr>
          <w:rFonts w:ascii="宋体" w:eastAsia="宋体" w:hAnsi="宋体" w:cs="宋体" w:hint="eastAsia"/>
          <w:b/>
          <w:bCs/>
          <w:sz w:val="28"/>
          <w:szCs w:val="28"/>
        </w:rPr>
        <w:t>因子抗凝的问题</w:t>
      </w:r>
    </w:p>
    <w:p w14:paraId="59D95488" w14:textId="77777777" w:rsidR="00D5345C" w:rsidRDefault="0037361E">
      <w:pPr>
        <w:spacing w:line="360" w:lineRule="auto"/>
        <w:jc w:val="left"/>
        <w:rPr>
          <w:rFonts w:ascii="宋体" w:eastAsia="宋体" w:hAnsi="宋体" w:cs="宋体"/>
          <w:b/>
          <w:bCs/>
          <w:sz w:val="24"/>
          <w:szCs w:val="24"/>
        </w:rPr>
      </w:pPr>
      <w:r>
        <w:rPr>
          <w:rFonts w:ascii="宋体" w:eastAsia="宋体" w:hAnsi="宋体" w:cs="宋体" w:hint="eastAsia"/>
          <w:b/>
          <w:bCs/>
          <w:sz w:val="24"/>
          <w:szCs w:val="24"/>
        </w:rPr>
        <w:t>抗凝血酶水平</w:t>
      </w:r>
    </w:p>
    <w:p w14:paraId="018CC2EC"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在长期UFH治疗期间，AT的消耗速率要高于肝脏合成速率，而ECMO期间的AT值很低。AT的补充可能是间歇性的或连续的，并且通常旨在通过可变剂量达到取决于实际AT活性的正常范围的较低值（80％AT活性）。一些作者主张通过补充AT浓缩物更好地实现所需的ACT并降低输血需求。但是其他研究表明在补充AT的小儿患者中出血和血栓形成并发症的发生率更高，并且目前对于需要在ECMO患者中提高AT水平尚无共识。</w:t>
      </w:r>
    </w:p>
    <w:p w14:paraId="7D037CFB" w14:textId="01254471" w:rsidR="00D5345C" w:rsidRDefault="0037361E" w:rsidP="006315CE">
      <w:pPr>
        <w:spacing w:line="360" w:lineRule="auto"/>
        <w:ind w:firstLine="480"/>
        <w:jc w:val="left"/>
        <w:rPr>
          <w:rFonts w:ascii="宋体" w:eastAsia="宋体" w:hAnsi="宋体" w:cs="宋体"/>
          <w:sz w:val="24"/>
          <w:szCs w:val="24"/>
        </w:rPr>
      </w:pPr>
      <w:r>
        <w:rPr>
          <w:rFonts w:ascii="宋体" w:eastAsia="宋体" w:hAnsi="宋体" w:cs="宋体" w:hint="eastAsia"/>
          <w:sz w:val="24"/>
          <w:szCs w:val="24"/>
        </w:rPr>
        <w:t>无论是否补充AT，AT水平显然都会影响UFH的临床疗效。在间歇性补充AT的情况下，给药后AT水平迅速升高，会反应到对UFH的波动。根据抗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因子水平对UFH剂量进行调整时，临床医生应了解当地实验室使用的抗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检测类型。包括外源性AT补充的检测并不能反映患者自身的血液内UFH功效，如果血浆AT活性较低，则可能会高估体内UFH的功效。相反，基于患者自身AT活性的测定可能出现对UFH的反应较差，并提示增加UFH剂量，而AT补充至正常水平（&gt; 80％）可以防止出现这种情况。实际上，AT浓缩物的补充能够在不增加UFH剂量的情况下增加抗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因子活性。</w:t>
      </w:r>
    </w:p>
    <w:p w14:paraId="22C881B8" w14:textId="77777777" w:rsidR="006315CE" w:rsidRDefault="006315CE" w:rsidP="006315CE">
      <w:pPr>
        <w:spacing w:line="360" w:lineRule="auto"/>
        <w:ind w:firstLine="480"/>
        <w:jc w:val="left"/>
        <w:rPr>
          <w:rFonts w:ascii="宋体" w:eastAsia="宋体" w:hAnsi="宋体" w:cs="宋体" w:hint="eastAsia"/>
          <w:sz w:val="24"/>
          <w:szCs w:val="24"/>
        </w:rPr>
      </w:pPr>
    </w:p>
    <w:p w14:paraId="09DE9545" w14:textId="77777777" w:rsidR="00D5345C" w:rsidRDefault="0037361E">
      <w:pPr>
        <w:spacing w:line="360" w:lineRule="auto"/>
        <w:jc w:val="left"/>
        <w:rPr>
          <w:rFonts w:ascii="宋体" w:eastAsia="宋体" w:hAnsi="宋体" w:cs="宋体"/>
          <w:b/>
          <w:bCs/>
          <w:sz w:val="24"/>
          <w:szCs w:val="24"/>
        </w:rPr>
      </w:pPr>
      <w:r>
        <w:rPr>
          <w:rFonts w:ascii="宋体" w:eastAsia="宋体" w:hAnsi="宋体" w:cs="宋体" w:hint="eastAsia"/>
          <w:b/>
          <w:bCs/>
          <w:sz w:val="24"/>
          <w:szCs w:val="24"/>
        </w:rPr>
        <w:t>显色污染</w:t>
      </w:r>
    </w:p>
    <w:p w14:paraId="1FBCE2C5" w14:textId="5B674661" w:rsidR="00D5345C" w:rsidRDefault="0037361E" w:rsidP="006315C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溶血在ECMO期间常有发生。最近的一项研究中发现，在60％的ECMO成年患者中发现高水平（&gt;50mg/dL）的游离血红蛋白。高胆红素血症是ECMO期间溶血和/或肝功能衰竭的另一种原因。在游离血红蛋白和/或胆红素值较高的情况下，显色测定可能会产生偏差，并且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因子检测会导致对UFH活性的低估。</w:t>
      </w:r>
    </w:p>
    <w:p w14:paraId="2403D25A" w14:textId="77777777" w:rsidR="006315CE" w:rsidRDefault="006315CE" w:rsidP="006315CE">
      <w:pPr>
        <w:spacing w:line="360" w:lineRule="auto"/>
        <w:ind w:firstLineChars="200" w:firstLine="480"/>
        <w:jc w:val="left"/>
        <w:rPr>
          <w:rFonts w:ascii="宋体" w:eastAsia="宋体" w:hAnsi="宋体" w:cs="宋体" w:hint="eastAsia"/>
          <w:sz w:val="24"/>
          <w:szCs w:val="24"/>
        </w:rPr>
      </w:pPr>
    </w:p>
    <w:p w14:paraId="2C5462EE" w14:textId="77777777" w:rsidR="00D5345C" w:rsidRDefault="0037361E">
      <w:pPr>
        <w:spacing w:line="360" w:lineRule="auto"/>
        <w:jc w:val="left"/>
        <w:rPr>
          <w:rFonts w:ascii="宋体" w:eastAsia="宋体" w:hAnsi="宋体" w:cs="宋体"/>
          <w:b/>
          <w:bCs/>
          <w:sz w:val="24"/>
          <w:szCs w:val="24"/>
        </w:rPr>
      </w:pPr>
      <w:r>
        <w:rPr>
          <w:rFonts w:ascii="宋体" w:eastAsia="宋体" w:hAnsi="宋体" w:cs="宋体" w:hint="eastAsia"/>
          <w:b/>
          <w:bCs/>
          <w:sz w:val="24"/>
          <w:szCs w:val="24"/>
        </w:rPr>
        <w:t>极度肥胖</w:t>
      </w:r>
    </w:p>
    <w:p w14:paraId="63DD9054" w14:textId="6659A569" w:rsidR="00D5345C" w:rsidRDefault="0037361E" w:rsidP="006315C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在需要VV ECMO的患者中经常发现极度肥胖（体重指数&gt;40 kg/m2），并可能与呼吸衰竭相关。像大多数其他抗凝剂一样，当针对极端体重的患者时，UFH的抗凝剂剂量可能需要调整剂量。具体而言，对于通过抗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因子检测结果调整的</w:t>
      </w:r>
      <w:r>
        <w:rPr>
          <w:rFonts w:ascii="宋体" w:eastAsia="宋体" w:hAnsi="宋体" w:cs="宋体" w:hint="eastAsia"/>
          <w:sz w:val="24"/>
          <w:szCs w:val="24"/>
        </w:rPr>
        <w:lastRenderedPageBreak/>
        <w:t>UFH输注速度，肥胖患者比非肥胖患者需要更低的剂量。对于0.3</w:t>
      </w:r>
      <w:r>
        <w:rPr>
          <w:rFonts w:ascii="Arial" w:eastAsia="宋体" w:hAnsi="Arial" w:cs="Arial"/>
          <w:sz w:val="24"/>
          <w:szCs w:val="24"/>
        </w:rPr>
        <w:t>~</w:t>
      </w:r>
      <w:r>
        <w:rPr>
          <w:rFonts w:ascii="宋体" w:eastAsia="宋体" w:hAnsi="宋体" w:cs="宋体" w:hint="eastAsia"/>
          <w:sz w:val="24"/>
          <w:szCs w:val="24"/>
        </w:rPr>
        <w:t>0.7 IU/mL的目标值，报告的剂量降低了25％（19.45vs.15.29单位/ kg/h）。降低肥胖患者的UFH剂量通常是合理的措施，然而在肥胖和非肥胖患者中，管路和氧合器是ECMO患者血栓形成的来源。因此作者认为，遵循抗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因子活性调整的UFH剂量可能导致与肥胖患者抗凝不足，从而增加ECMO装置内血栓形成的风险。</w:t>
      </w:r>
    </w:p>
    <w:p w14:paraId="182B97B2" w14:textId="77777777" w:rsidR="006315CE" w:rsidRDefault="006315CE" w:rsidP="006315CE">
      <w:pPr>
        <w:spacing w:line="360" w:lineRule="auto"/>
        <w:ind w:firstLineChars="200" w:firstLine="480"/>
        <w:jc w:val="left"/>
        <w:rPr>
          <w:rFonts w:ascii="宋体" w:eastAsia="宋体" w:hAnsi="宋体" w:cs="宋体" w:hint="eastAsia"/>
          <w:sz w:val="24"/>
          <w:szCs w:val="24"/>
        </w:rPr>
      </w:pPr>
    </w:p>
    <w:p w14:paraId="45F6DDCD" w14:textId="77777777" w:rsidR="00D5345C" w:rsidRDefault="0037361E">
      <w:pPr>
        <w:spacing w:line="360" w:lineRule="auto"/>
        <w:jc w:val="left"/>
        <w:rPr>
          <w:rFonts w:ascii="宋体" w:eastAsia="宋体" w:hAnsi="宋体" w:cs="宋体"/>
          <w:b/>
          <w:bCs/>
          <w:sz w:val="24"/>
          <w:szCs w:val="24"/>
        </w:rPr>
      </w:pPr>
      <w:r>
        <w:rPr>
          <w:rFonts w:ascii="宋体" w:eastAsia="宋体" w:hAnsi="宋体" w:cs="宋体" w:hint="eastAsia"/>
          <w:b/>
          <w:bCs/>
          <w:sz w:val="24"/>
          <w:szCs w:val="24"/>
        </w:rPr>
        <w:t>新生儿和婴儿</w:t>
      </w:r>
    </w:p>
    <w:p w14:paraId="0592525C" w14:textId="7ED1212A" w:rsidR="00D5345C" w:rsidRDefault="0037361E" w:rsidP="006315C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在小儿患者中，基于抗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因子的抗凝治疗具有挑战性。 由于凝血系统不成熟，这些患者可能需要使用不同于成人的UFH剂量。Schechter等人在6个月以下的一系列患者（包括ECMO和非ECMO）中研究了UFH抗凝治疗，目标是抗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因子活性为0.35</w:t>
      </w:r>
      <w:r>
        <w:rPr>
          <w:rFonts w:ascii="Arial" w:eastAsia="宋体" w:hAnsi="Arial" w:cs="Arial"/>
          <w:sz w:val="24"/>
          <w:szCs w:val="24"/>
        </w:rPr>
        <w:t>~</w:t>
      </w:r>
      <w:r>
        <w:rPr>
          <w:rFonts w:ascii="宋体" w:eastAsia="宋体" w:hAnsi="宋体" w:cs="宋体" w:hint="eastAsia"/>
          <w:sz w:val="24"/>
          <w:szCs w:val="24"/>
        </w:rPr>
        <w:t>0.7IU/ml。 他们发现，尽管UFH剂量非常大（34</w:t>
      </w:r>
      <w:r>
        <w:rPr>
          <w:rFonts w:ascii="Arial" w:eastAsia="宋体" w:hAnsi="Arial" w:cs="Arial"/>
          <w:sz w:val="24"/>
          <w:szCs w:val="24"/>
        </w:rPr>
        <w:t>~</w:t>
      </w:r>
      <w:r>
        <w:rPr>
          <w:rFonts w:ascii="宋体" w:eastAsia="宋体" w:hAnsi="宋体" w:cs="宋体" w:hint="eastAsia"/>
          <w:sz w:val="24"/>
          <w:szCs w:val="24"/>
        </w:rPr>
        <w:t>73 IU/kg/h），但只有15％的患者可以达到目标，其余85％的患者无法达到目标。患者的血栓消除率高，无血栓进展，但出血率较高。这可能表明，在新生儿和婴儿中，以0.3</w:t>
      </w:r>
      <w:r w:rsidR="00C64410">
        <w:rPr>
          <w:rFonts w:ascii="宋体" w:eastAsia="宋体" w:hAnsi="宋体" w:cs="宋体" w:hint="eastAsia"/>
          <w:sz w:val="24"/>
          <w:szCs w:val="24"/>
        </w:rPr>
        <w:t>7</w:t>
      </w:r>
      <w:r>
        <w:rPr>
          <w:rFonts w:ascii="Arial" w:eastAsia="宋体" w:hAnsi="Arial" w:cs="Arial"/>
          <w:sz w:val="24"/>
          <w:szCs w:val="24"/>
        </w:rPr>
        <w:t>~</w:t>
      </w:r>
      <w:r>
        <w:rPr>
          <w:rFonts w:ascii="宋体" w:eastAsia="宋体" w:hAnsi="宋体" w:cs="宋体" w:hint="eastAsia"/>
          <w:sz w:val="24"/>
          <w:szCs w:val="24"/>
        </w:rPr>
        <w:t>0.7IU/mL为目标的UFH抗凝可能导致抗凝过度。 但是一些在ECMO患者中使用该策略取得良好效果的研究却也是在儿科患者中进行的。</w:t>
      </w:r>
    </w:p>
    <w:p w14:paraId="37F252A7" w14:textId="77777777" w:rsidR="006315CE" w:rsidRDefault="006315CE" w:rsidP="006315CE">
      <w:pPr>
        <w:spacing w:line="360" w:lineRule="auto"/>
        <w:ind w:firstLineChars="200" w:firstLine="480"/>
        <w:jc w:val="left"/>
        <w:rPr>
          <w:rFonts w:ascii="宋体" w:eastAsia="宋体" w:hAnsi="宋体" w:cs="宋体" w:hint="eastAsia"/>
          <w:sz w:val="24"/>
          <w:szCs w:val="24"/>
        </w:rPr>
      </w:pPr>
    </w:p>
    <w:p w14:paraId="596E3510" w14:textId="77777777" w:rsidR="00D5345C" w:rsidRDefault="0037361E">
      <w:pPr>
        <w:spacing w:line="360" w:lineRule="auto"/>
        <w:jc w:val="left"/>
        <w:rPr>
          <w:rFonts w:ascii="宋体" w:eastAsia="宋体" w:hAnsi="宋体" w:cs="宋体"/>
          <w:b/>
          <w:bCs/>
          <w:sz w:val="24"/>
          <w:szCs w:val="24"/>
        </w:rPr>
      </w:pPr>
      <w:r>
        <w:rPr>
          <w:rFonts w:ascii="宋体" w:eastAsia="宋体" w:hAnsi="宋体" w:cs="宋体" w:hint="eastAsia"/>
          <w:b/>
          <w:bCs/>
          <w:sz w:val="24"/>
          <w:szCs w:val="24"/>
        </w:rPr>
        <w:t>血小板数量和功能</w:t>
      </w:r>
    </w:p>
    <w:p w14:paraId="73F69601"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在ECMO治疗期间常合并血小板减少症，并且可能导致出血。反过来出血是血小板减少的原因。ECMO治疗期间通常会改变血小板的功能。除了获得性血管性假性血友病众所周知的现象外，还有报道ECMO患者各种程度的血小板聚集功能障碍。</w:t>
      </w:r>
    </w:p>
    <w:p w14:paraId="55E5937B"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因子检测是在无血小板的情况下测量肝素活性，在此环境中可以测量UFH对凝血酶抑制的影响。在ECMO患者中使用VET（血栓粘弹性试验 ）进行的研究表明，血栓牢固性较差（血栓弹性成像中的最大振幅和最大的血栓硬度）是ECMO患者发生出血并发症的决定因素。</w:t>
      </w:r>
    </w:p>
    <w:p w14:paraId="6357BDE8" w14:textId="36676925" w:rsidR="00D5345C" w:rsidRDefault="0037361E" w:rsidP="00F91B6C">
      <w:pPr>
        <w:spacing w:line="360" w:lineRule="auto"/>
        <w:ind w:firstLine="480"/>
        <w:jc w:val="left"/>
        <w:rPr>
          <w:rFonts w:ascii="宋体" w:eastAsia="宋体" w:hAnsi="宋体" w:cs="宋体"/>
          <w:sz w:val="24"/>
          <w:szCs w:val="24"/>
        </w:rPr>
      </w:pPr>
      <w:r>
        <w:rPr>
          <w:rFonts w:ascii="宋体" w:eastAsia="宋体" w:hAnsi="宋体" w:cs="宋体" w:hint="eastAsia"/>
          <w:sz w:val="24"/>
          <w:szCs w:val="24"/>
        </w:rPr>
        <w:t>因此，在血小板减少症、血小板功能障碍和频繁使用血小板制品的情况下，采取一种不考虑这些因素的UFH活性测定方法可能是有问题的。作者的观点是，每当血小板计数和/或严重的血小板功能障碍时，以抗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因子活性指导UFH剂量而未考虑血小板对有效形成血栓的作用可能会导致出血性环境。</w:t>
      </w:r>
    </w:p>
    <w:p w14:paraId="63831271" w14:textId="77777777" w:rsidR="00F91B6C" w:rsidRDefault="00F91B6C" w:rsidP="00F91B6C">
      <w:pPr>
        <w:spacing w:line="360" w:lineRule="auto"/>
        <w:ind w:firstLine="480"/>
        <w:jc w:val="left"/>
        <w:rPr>
          <w:rFonts w:ascii="宋体" w:eastAsia="宋体" w:hAnsi="宋体" w:cs="宋体" w:hint="eastAsia"/>
          <w:sz w:val="24"/>
          <w:szCs w:val="24"/>
        </w:rPr>
      </w:pPr>
    </w:p>
    <w:p w14:paraId="381D6086" w14:textId="77777777" w:rsidR="00D5345C" w:rsidRDefault="0037361E">
      <w:pPr>
        <w:spacing w:line="360" w:lineRule="auto"/>
        <w:jc w:val="left"/>
        <w:rPr>
          <w:rFonts w:ascii="宋体" w:eastAsia="宋体" w:hAnsi="宋体" w:cs="宋体"/>
          <w:b/>
          <w:bCs/>
          <w:sz w:val="24"/>
          <w:szCs w:val="24"/>
        </w:rPr>
      </w:pPr>
      <w:r>
        <w:rPr>
          <w:rFonts w:ascii="宋体" w:eastAsia="宋体" w:hAnsi="宋体" w:cs="宋体" w:hint="eastAsia"/>
          <w:b/>
          <w:bCs/>
          <w:sz w:val="24"/>
          <w:szCs w:val="24"/>
        </w:rPr>
        <w:t>纤维蛋白原水平</w:t>
      </w:r>
    </w:p>
    <w:p w14:paraId="5A0CB617" w14:textId="41068741"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纤维蛋白原是一种急性期蛋白，在ECMO治疗过程中，其浓度会迅速增加。 ECMO治疗开始时可能出现低值（尤其是在心脏术后应用ECMO治疗的情况下），但通常在24到36小时后恢复正常，在接下来的几天达到超常值，在4到5天后通常超过5.0g/L（►图1 ）。</w:t>
      </w:r>
    </w:p>
    <w:p w14:paraId="327F8ED2" w14:textId="77777777" w:rsidR="00F91B6C" w:rsidRDefault="00F91B6C">
      <w:pPr>
        <w:spacing w:line="360" w:lineRule="auto"/>
        <w:ind w:firstLineChars="200" w:firstLine="480"/>
        <w:jc w:val="left"/>
        <w:rPr>
          <w:rFonts w:ascii="宋体" w:eastAsia="宋体" w:hAnsi="宋体" w:cs="宋体" w:hint="eastAsia"/>
          <w:sz w:val="24"/>
          <w:szCs w:val="24"/>
        </w:rPr>
      </w:pPr>
    </w:p>
    <w:p w14:paraId="34B28026" w14:textId="77777777" w:rsidR="00D5345C" w:rsidRDefault="0037361E">
      <w:pPr>
        <w:spacing w:line="360" w:lineRule="auto"/>
        <w:jc w:val="left"/>
        <w:rPr>
          <w:rFonts w:ascii="宋体" w:eastAsia="宋体" w:hAnsi="宋体" w:cs="宋体"/>
          <w:sz w:val="24"/>
          <w:szCs w:val="24"/>
        </w:rPr>
      </w:pPr>
      <w:r>
        <w:rPr>
          <w:rFonts w:ascii="宋体" w:eastAsia="宋体" w:hAnsi="宋体" w:cs="宋体" w:hint="eastAsia"/>
          <w:noProof/>
          <w:sz w:val="24"/>
          <w:szCs w:val="24"/>
        </w:rPr>
        <w:drawing>
          <wp:inline distT="0" distB="0" distL="0" distR="0" wp14:anchorId="4BF44952" wp14:editId="75ADB1FE">
            <wp:extent cx="5274310" cy="36131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3613150"/>
                    </a:xfrm>
                    <a:prstGeom prst="rect">
                      <a:avLst/>
                    </a:prstGeom>
                  </pic:spPr>
                </pic:pic>
              </a:graphicData>
            </a:graphic>
          </wp:inline>
        </w:drawing>
      </w:r>
    </w:p>
    <w:p w14:paraId="3EEB0BF2" w14:textId="60AEA36D" w:rsidR="00D5345C" w:rsidRDefault="0037361E">
      <w:pPr>
        <w:spacing w:line="360" w:lineRule="auto"/>
        <w:jc w:val="left"/>
        <w:rPr>
          <w:rFonts w:ascii="宋体" w:eastAsia="宋体" w:hAnsi="宋体" w:cs="宋体"/>
          <w:sz w:val="24"/>
          <w:szCs w:val="24"/>
        </w:rPr>
      </w:pPr>
      <w:r>
        <w:rPr>
          <w:rFonts w:ascii="宋体" w:eastAsia="宋体" w:hAnsi="宋体" w:cs="宋体" w:hint="eastAsia"/>
          <w:sz w:val="24"/>
          <w:szCs w:val="24"/>
        </w:rPr>
        <w:t>图1.体外膜氧合（ECMO）治疗前6天的纤维蛋白原浓度。虚线界定了95％的置信区间。 （数据来自</w:t>
      </w:r>
      <w:proofErr w:type="spellStart"/>
      <w:r>
        <w:rPr>
          <w:rFonts w:ascii="宋体" w:eastAsia="宋体" w:hAnsi="宋体" w:cs="宋体" w:hint="eastAsia"/>
          <w:sz w:val="24"/>
          <w:szCs w:val="24"/>
        </w:rPr>
        <w:t>Ranucci</w:t>
      </w:r>
      <w:proofErr w:type="spellEnd"/>
      <w:r>
        <w:rPr>
          <w:rFonts w:ascii="宋体" w:eastAsia="宋体" w:hAnsi="宋体" w:cs="宋体" w:hint="eastAsia"/>
          <w:sz w:val="24"/>
          <w:szCs w:val="24"/>
        </w:rPr>
        <w:t>等人）</w:t>
      </w:r>
    </w:p>
    <w:p w14:paraId="26C0799F" w14:textId="77777777" w:rsidR="00F91B6C" w:rsidRDefault="00F91B6C">
      <w:pPr>
        <w:spacing w:line="360" w:lineRule="auto"/>
        <w:jc w:val="left"/>
        <w:rPr>
          <w:rFonts w:ascii="宋体" w:eastAsia="宋体" w:hAnsi="宋体" w:cs="宋体" w:hint="eastAsia"/>
          <w:sz w:val="24"/>
          <w:szCs w:val="24"/>
        </w:rPr>
      </w:pPr>
    </w:p>
    <w:p w14:paraId="5A360A18"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与血小板和其它血细胞一起，纤维蛋白原是影响血栓坚固程度和形成效率的主要决定因素。但是有研究表明高纤维蛋白原水平（例如，纤维蛋白原/白蛋白比）可能导致ECMO患者发生血栓并发症。在ECMO期间，肝素通常增加剂量以延长凝血时间，这表明高纤维蛋白原水平可能需要更大的肝素剂量才能将ACT/APTT维持在目标值。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因子检测使用一种与纤维蛋白原无关的方法来检测UFH活性。该测试没有考虑到对于凝块稳定性至关重要的底物水平，因此用抗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因子水平调整UFH剂量可能会导致纤维蛋白原水平很高的ECMO患者抗凝不足，</w:t>
      </w:r>
      <w:r>
        <w:rPr>
          <w:rFonts w:ascii="宋体" w:eastAsia="宋体" w:hAnsi="宋体" w:cs="宋体" w:hint="eastAsia"/>
          <w:sz w:val="24"/>
          <w:szCs w:val="24"/>
        </w:rPr>
        <w:lastRenderedPageBreak/>
        <w:t>从而制造出了容易形成血栓的状况。</w:t>
      </w:r>
    </w:p>
    <w:p w14:paraId="662E29FC" w14:textId="77777777" w:rsidR="00D5345C" w:rsidRDefault="00D5345C">
      <w:pPr>
        <w:spacing w:line="360" w:lineRule="auto"/>
        <w:jc w:val="left"/>
        <w:rPr>
          <w:rFonts w:ascii="宋体" w:eastAsia="宋体" w:hAnsi="宋体" w:cs="宋体"/>
          <w:color w:val="FF0000"/>
          <w:sz w:val="24"/>
          <w:szCs w:val="24"/>
        </w:rPr>
      </w:pPr>
    </w:p>
    <w:p w14:paraId="140D9EA3" w14:textId="77777777" w:rsidR="00D5345C" w:rsidRDefault="0037361E">
      <w:pPr>
        <w:spacing w:line="360" w:lineRule="auto"/>
        <w:jc w:val="left"/>
        <w:rPr>
          <w:rFonts w:ascii="宋体" w:eastAsia="宋体" w:hAnsi="宋体" w:cs="宋体"/>
          <w:b/>
          <w:bCs/>
          <w:sz w:val="24"/>
          <w:szCs w:val="24"/>
        </w:rPr>
      </w:pPr>
      <w:r>
        <w:rPr>
          <w:rFonts w:ascii="宋体" w:eastAsia="宋体" w:hAnsi="宋体" w:cs="宋体" w:hint="eastAsia"/>
          <w:b/>
          <w:bCs/>
          <w:sz w:val="24"/>
          <w:szCs w:val="24"/>
        </w:rPr>
        <w:t>目标值的不确定性</w:t>
      </w:r>
    </w:p>
    <w:p w14:paraId="698B90E1"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在ECMO中使用抗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因子活性调节UFH剂量的大量研究报告的目标值为0.3</w:t>
      </w:r>
      <w:r>
        <w:rPr>
          <w:rFonts w:ascii="Arial" w:eastAsia="宋体" w:hAnsi="Arial" w:cs="Arial"/>
          <w:sz w:val="24"/>
          <w:szCs w:val="24"/>
        </w:rPr>
        <w:t>~</w:t>
      </w:r>
      <w:r>
        <w:rPr>
          <w:rFonts w:ascii="宋体" w:eastAsia="宋体" w:hAnsi="宋体" w:cs="宋体" w:hint="eastAsia"/>
          <w:sz w:val="24"/>
          <w:szCs w:val="24"/>
        </w:rPr>
        <w:t>0.7IU/mL，但也有提出较高目标范围（下限：0.4</w:t>
      </w:r>
      <w:r>
        <w:rPr>
          <w:rFonts w:ascii="Arial" w:eastAsia="宋体" w:hAnsi="Arial" w:cs="Arial"/>
          <w:sz w:val="24"/>
          <w:szCs w:val="24"/>
        </w:rPr>
        <w:t>~</w:t>
      </w:r>
      <w:r>
        <w:rPr>
          <w:rFonts w:ascii="宋体" w:eastAsia="宋体" w:hAnsi="宋体" w:cs="宋体" w:hint="eastAsia"/>
          <w:sz w:val="24"/>
          <w:szCs w:val="24"/>
        </w:rPr>
        <w:t>0.5IU/mL;上限：0.8IU/mL）以及较低目标范围（0.2</w:t>
      </w:r>
      <w:r>
        <w:rPr>
          <w:rFonts w:ascii="Arial" w:eastAsia="宋体" w:hAnsi="Arial" w:cs="Arial"/>
          <w:sz w:val="24"/>
          <w:szCs w:val="24"/>
        </w:rPr>
        <w:t>~</w:t>
      </w:r>
      <w:r>
        <w:rPr>
          <w:rFonts w:ascii="宋体" w:eastAsia="宋体" w:hAnsi="宋体" w:cs="宋体" w:hint="eastAsia"/>
          <w:sz w:val="24"/>
          <w:szCs w:val="24"/>
        </w:rPr>
        <w:t>0.4IU/mL）。</w:t>
      </w:r>
    </w:p>
    <w:p w14:paraId="2A41F463"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总之，在ECMO中基于抗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因子活性分析指导UFH抗凝的主要局限性在于它们对辅因子（AT）和底物（纤维蛋白原和血小板）的敏感性。当AT活性，纤维蛋白原值，血小板计数和功能在正常范围内时，抗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因子活性可以反映UFH的临床疗效。但是，如前所述，ECMO治疗中这些因素很少在正常范围内。因此，仅基于抗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因子活性进行UFH调整可能会导致ECMO患者抗凝过度或不足，并有相应的出血或血栓形成风险。另外，暂时还没有确切的目标范围。</w:t>
      </w:r>
    </w:p>
    <w:p w14:paraId="3F493BFA"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根据这些概念，抗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检测用于调整ECMO患者的UFH剂量离不开以下三个方面：（1）必须知晓实验室使用哪种类型的测定（有或没有外源性AT）；（2）同时测量患者的AT活性；（3）对全血进行其他检测，比如相对敏感的血纤蛋白原和血小板计数。</w:t>
      </w:r>
    </w:p>
    <w:p w14:paraId="3A80E663" w14:textId="77777777" w:rsidR="00D5345C" w:rsidRDefault="00D5345C">
      <w:pPr>
        <w:spacing w:line="360" w:lineRule="auto"/>
        <w:jc w:val="left"/>
        <w:rPr>
          <w:rFonts w:ascii="宋体" w:eastAsia="宋体" w:hAnsi="宋体" w:cs="宋体" w:hint="eastAsia"/>
          <w:sz w:val="24"/>
          <w:szCs w:val="24"/>
        </w:rPr>
      </w:pPr>
    </w:p>
    <w:p w14:paraId="7E132E37" w14:textId="77777777" w:rsidR="00D5345C" w:rsidRPr="006315CE" w:rsidRDefault="0037361E">
      <w:pPr>
        <w:spacing w:line="360" w:lineRule="auto"/>
        <w:jc w:val="left"/>
        <w:rPr>
          <w:rFonts w:ascii="宋体" w:eastAsia="宋体" w:hAnsi="宋体" w:cs="宋体"/>
          <w:b/>
          <w:bCs/>
          <w:sz w:val="28"/>
          <w:szCs w:val="28"/>
        </w:rPr>
      </w:pPr>
      <w:r w:rsidRPr="006315CE">
        <w:rPr>
          <w:rFonts w:ascii="宋体" w:eastAsia="宋体" w:hAnsi="宋体" w:cs="宋体" w:hint="eastAsia"/>
          <w:b/>
          <w:bCs/>
          <w:sz w:val="28"/>
          <w:szCs w:val="28"/>
        </w:rPr>
        <w:t>指导ECMO抗凝的替代或补充检验</w:t>
      </w:r>
    </w:p>
    <w:p w14:paraId="40E0F468" w14:textId="77777777" w:rsidR="00D5345C" w:rsidRDefault="0037361E" w:rsidP="00F11D56">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根据体外生命支持组织的2017年指南，在ECMO期间监测UFH抗凝的替代测试包括APTT，ACT和VET。</w:t>
      </w:r>
    </w:p>
    <w:p w14:paraId="110D2083" w14:textId="77777777" w:rsidR="00D5345C" w:rsidRDefault="0037361E">
      <w:pPr>
        <w:spacing w:line="360" w:lineRule="auto"/>
        <w:jc w:val="left"/>
        <w:rPr>
          <w:rFonts w:ascii="宋体" w:eastAsia="宋体" w:hAnsi="宋体" w:cs="宋体"/>
          <w:sz w:val="24"/>
          <w:szCs w:val="24"/>
        </w:rPr>
      </w:pPr>
      <w:r>
        <w:rPr>
          <w:rFonts w:ascii="宋体" w:eastAsia="宋体" w:hAnsi="宋体" w:cs="宋体" w:hint="eastAsia"/>
          <w:sz w:val="24"/>
          <w:szCs w:val="24"/>
        </w:rPr>
        <w:t>►表1总结了这四个检验的主要特征</w:t>
      </w:r>
    </w:p>
    <w:p w14:paraId="3FA4F631" w14:textId="77777777" w:rsidR="00D5345C" w:rsidRDefault="0037361E">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ECMO中UFH抗凝的可用监测措施。 </w:t>
      </w:r>
    </w:p>
    <w:p w14:paraId="36857CE9" w14:textId="77777777" w:rsidR="00D5345C" w:rsidRDefault="0037361E">
      <w:pPr>
        <w:spacing w:line="360" w:lineRule="auto"/>
        <w:jc w:val="left"/>
        <w:rPr>
          <w:rFonts w:ascii="宋体" w:eastAsia="宋体" w:hAnsi="宋体" w:cs="宋体"/>
          <w:sz w:val="24"/>
          <w:szCs w:val="24"/>
        </w:rPr>
      </w:pPr>
      <w:r>
        <w:rPr>
          <w:rFonts w:ascii="宋体" w:eastAsia="宋体" w:hAnsi="宋体" w:cs="宋体" w:hint="eastAsia"/>
          <w:sz w:val="24"/>
          <w:szCs w:val="24"/>
        </w:rPr>
        <w:t>►表2报告了针对不同领域的主要研究</w:t>
      </w:r>
    </w:p>
    <w:p w14:paraId="3A15B895" w14:textId="77777777" w:rsidR="00D5345C" w:rsidRDefault="0037361E">
      <w:pPr>
        <w:spacing w:line="360" w:lineRule="auto"/>
        <w:jc w:val="left"/>
        <w:rPr>
          <w:rFonts w:ascii="宋体" w:eastAsia="宋体" w:hAnsi="宋体" w:cs="宋体"/>
          <w:sz w:val="24"/>
          <w:szCs w:val="24"/>
        </w:rPr>
      </w:pPr>
      <w:r>
        <w:rPr>
          <w:rFonts w:ascii="宋体" w:eastAsia="宋体" w:hAnsi="宋体" w:cs="宋体" w:hint="eastAsia"/>
          <w:sz w:val="24"/>
          <w:szCs w:val="24"/>
        </w:rPr>
        <w:t>ECMO患者UFH抗凝中的凝血试验。</w:t>
      </w:r>
    </w:p>
    <w:p w14:paraId="6E56FFF9" w14:textId="77777777" w:rsidR="00D5345C" w:rsidRDefault="00D5345C">
      <w:pPr>
        <w:spacing w:line="360" w:lineRule="auto"/>
        <w:jc w:val="left"/>
        <w:rPr>
          <w:rFonts w:ascii="宋体" w:eastAsia="宋体" w:hAnsi="宋体" w:cs="宋体"/>
          <w:sz w:val="24"/>
          <w:szCs w:val="24"/>
        </w:rPr>
      </w:pPr>
    </w:p>
    <w:p w14:paraId="1AA6D71D" w14:textId="77777777" w:rsidR="00D5345C" w:rsidRDefault="0037361E">
      <w:pPr>
        <w:spacing w:line="360" w:lineRule="auto"/>
        <w:jc w:val="left"/>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14:anchorId="239249FF" wp14:editId="3E2D84B1">
            <wp:extent cx="5274310" cy="35648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3564890"/>
                    </a:xfrm>
                    <a:prstGeom prst="rect">
                      <a:avLst/>
                    </a:prstGeom>
                  </pic:spPr>
                </pic:pic>
              </a:graphicData>
            </a:graphic>
          </wp:inline>
        </w:drawing>
      </w:r>
    </w:p>
    <w:p w14:paraId="0D973D7E" w14:textId="77777777" w:rsidR="00D5345C" w:rsidRDefault="00D5345C">
      <w:pPr>
        <w:spacing w:line="360" w:lineRule="auto"/>
        <w:jc w:val="left"/>
        <w:rPr>
          <w:rFonts w:ascii="宋体" w:eastAsia="宋体" w:hAnsi="宋体" w:cs="宋体"/>
          <w:sz w:val="24"/>
          <w:szCs w:val="24"/>
        </w:rPr>
      </w:pPr>
    </w:p>
    <w:p w14:paraId="7E1EC8F6" w14:textId="77777777" w:rsidR="00D5345C" w:rsidRDefault="0037361E">
      <w:pPr>
        <w:spacing w:line="360" w:lineRule="auto"/>
        <w:jc w:val="left"/>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14:anchorId="734857F5" wp14:editId="39635428">
            <wp:extent cx="4681855" cy="885825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1855" cy="8858250"/>
                    </a:xfrm>
                    <a:prstGeom prst="rect">
                      <a:avLst/>
                    </a:prstGeom>
                    <a:noFill/>
                    <a:ln>
                      <a:noFill/>
                    </a:ln>
                  </pic:spPr>
                </pic:pic>
              </a:graphicData>
            </a:graphic>
          </wp:inline>
        </w:drawing>
      </w:r>
    </w:p>
    <w:p w14:paraId="7E107C6D" w14:textId="77777777" w:rsidR="00D5345C" w:rsidRPr="006315CE" w:rsidRDefault="0037361E">
      <w:pPr>
        <w:spacing w:line="360" w:lineRule="auto"/>
        <w:jc w:val="left"/>
        <w:rPr>
          <w:rFonts w:ascii="宋体" w:eastAsia="宋体" w:hAnsi="宋体" w:cs="宋体"/>
          <w:b/>
          <w:bCs/>
          <w:sz w:val="28"/>
          <w:szCs w:val="28"/>
        </w:rPr>
      </w:pPr>
      <w:r w:rsidRPr="006315CE">
        <w:rPr>
          <w:rFonts w:ascii="宋体" w:eastAsia="宋体" w:hAnsi="宋体" w:cs="宋体" w:hint="eastAsia"/>
          <w:b/>
          <w:bCs/>
          <w:sz w:val="28"/>
          <w:szCs w:val="28"/>
        </w:rPr>
        <w:lastRenderedPageBreak/>
        <w:t>将抗</w:t>
      </w:r>
      <w:proofErr w:type="spellStart"/>
      <w:r w:rsidRPr="006315CE">
        <w:rPr>
          <w:rFonts w:ascii="宋体" w:eastAsia="宋体" w:hAnsi="宋体" w:cs="宋体" w:hint="eastAsia"/>
          <w:b/>
          <w:bCs/>
          <w:sz w:val="28"/>
          <w:szCs w:val="28"/>
        </w:rPr>
        <w:t>Xa</w:t>
      </w:r>
      <w:proofErr w:type="spellEnd"/>
      <w:r w:rsidRPr="006315CE">
        <w:rPr>
          <w:rFonts w:ascii="宋体" w:eastAsia="宋体" w:hAnsi="宋体" w:cs="宋体" w:hint="eastAsia"/>
          <w:b/>
          <w:bCs/>
          <w:sz w:val="28"/>
          <w:szCs w:val="28"/>
        </w:rPr>
        <w:t>因子检测与其他凝血测试结合</w:t>
      </w:r>
    </w:p>
    <w:p w14:paraId="59825390" w14:textId="77777777" w:rsidR="00D5345C" w:rsidRDefault="0037361E">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作者认为，有大量证据表明仅依靠抗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因子检测不能指导ECMO的UFH抗凝治疗。至少应通过凝血因子活性评估和实施（可行的）测量（如血小板计数/功能和纤维蛋白原）对凝血酶生成后血栓形成的作用。我们假如将抗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因子检测与VET结合实际上可以提供有用的组合信息。VET提供了有关血栓性质甚至纤维蛋白原相关作用的综合信息。有研究表明，VET的反应时间与抗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因子活性之间的相关性要比ACT或APTT更好。此外，在模型中纳入血栓硬度可以为出血并发症提供预测工具。最后，基于抗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因子检测与AT和VET的组合的方案可减少输血，出血并发症和延长管路寿命。</w:t>
      </w:r>
    </w:p>
    <w:p w14:paraId="77CC9FCA" w14:textId="77777777" w:rsidR="00D5345C" w:rsidRDefault="00D5345C">
      <w:pPr>
        <w:spacing w:line="360" w:lineRule="auto"/>
        <w:jc w:val="left"/>
        <w:rPr>
          <w:rFonts w:ascii="宋体" w:eastAsia="宋体" w:hAnsi="宋体" w:cs="宋体"/>
          <w:sz w:val="24"/>
          <w:szCs w:val="24"/>
        </w:rPr>
      </w:pPr>
    </w:p>
    <w:p w14:paraId="001AF87B" w14:textId="77777777" w:rsidR="00D5345C" w:rsidRPr="006315CE" w:rsidRDefault="0037361E">
      <w:pPr>
        <w:spacing w:line="360" w:lineRule="auto"/>
        <w:jc w:val="left"/>
        <w:rPr>
          <w:rFonts w:ascii="宋体" w:eastAsia="宋体" w:hAnsi="宋体" w:cs="宋体"/>
          <w:b/>
          <w:bCs/>
          <w:sz w:val="28"/>
          <w:szCs w:val="28"/>
        </w:rPr>
      </w:pPr>
      <w:r w:rsidRPr="006315CE">
        <w:rPr>
          <w:rFonts w:ascii="宋体" w:eastAsia="宋体" w:hAnsi="宋体" w:cs="宋体" w:hint="eastAsia"/>
          <w:b/>
          <w:bCs/>
          <w:sz w:val="28"/>
          <w:szCs w:val="28"/>
        </w:rPr>
        <w:t>结论</w:t>
      </w:r>
    </w:p>
    <w:p w14:paraId="25BB2FF9" w14:textId="77777777" w:rsidR="00D5345C" w:rsidRDefault="0037361E">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　　ECMO患者的抗凝治疗仍是一个未解决的问题，尚无标</w:t>
      </w:r>
      <w:r w:rsidR="00F11D56">
        <w:rPr>
          <w:rFonts w:ascii="宋体" w:eastAsia="宋体" w:hAnsi="宋体" w:cs="宋体" w:hint="eastAsia"/>
          <w:sz w:val="24"/>
          <w:szCs w:val="24"/>
        </w:rPr>
        <w:t>准化方案。在最近一次体外生命支持组织中心进行的调查中</w:t>
      </w:r>
      <w:r>
        <w:rPr>
          <w:rFonts w:ascii="宋体" w:eastAsia="宋体" w:hAnsi="宋体" w:cs="宋体" w:hint="eastAsia"/>
          <w:sz w:val="24"/>
          <w:szCs w:val="24"/>
        </w:rPr>
        <w:t>发现</w:t>
      </w:r>
      <w:r w:rsidR="00F11D56">
        <w:rPr>
          <w:rFonts w:ascii="宋体" w:eastAsia="宋体" w:hAnsi="宋体" w:cs="宋体" w:hint="eastAsia"/>
          <w:sz w:val="24"/>
          <w:szCs w:val="24"/>
        </w:rPr>
        <w:t>，</w:t>
      </w:r>
      <w:r>
        <w:rPr>
          <w:rFonts w:ascii="宋体" w:eastAsia="宋体" w:hAnsi="宋体" w:cs="宋体" w:hint="eastAsia"/>
          <w:sz w:val="24"/>
          <w:szCs w:val="24"/>
        </w:rPr>
        <w:t>ACT仍然是调整UFH剂量的检测标准（范围：140--240秒）。94％的中心测量APTT，而40％的中心常规测量抗</w:t>
      </w:r>
      <w:proofErr w:type="spellStart"/>
      <w:r>
        <w:rPr>
          <w:rFonts w:ascii="宋体" w:eastAsia="宋体" w:hAnsi="宋体" w:cs="宋体" w:hint="eastAsia"/>
          <w:sz w:val="24"/>
          <w:szCs w:val="24"/>
        </w:rPr>
        <w:t>Xa</w:t>
      </w:r>
      <w:proofErr w:type="spellEnd"/>
      <w:r>
        <w:rPr>
          <w:rFonts w:ascii="宋体" w:eastAsia="宋体" w:hAnsi="宋体" w:cs="宋体" w:hint="eastAsia"/>
          <w:sz w:val="24"/>
          <w:szCs w:val="24"/>
        </w:rPr>
        <w:t>因子活性，而仅18％中心常规地使用血栓粘弹性试验。</w:t>
      </w:r>
    </w:p>
    <w:p w14:paraId="192C1A29" w14:textId="77777777" w:rsidR="00D5345C" w:rsidRDefault="00CE3F4E">
      <w:pPr>
        <w:spacing w:line="360" w:lineRule="auto"/>
        <w:jc w:val="left"/>
        <w:rPr>
          <w:rFonts w:ascii="宋体" w:eastAsia="宋体" w:hAnsi="宋体" w:cs="宋体"/>
          <w:sz w:val="24"/>
          <w:szCs w:val="24"/>
        </w:rPr>
      </w:pPr>
      <w:r>
        <w:rPr>
          <w:rFonts w:ascii="宋体" w:eastAsia="宋体" w:hAnsi="宋体" w:cs="宋体" w:hint="eastAsia"/>
          <w:sz w:val="24"/>
          <w:szCs w:val="24"/>
        </w:rPr>
        <w:t xml:space="preserve">　　对</w:t>
      </w:r>
      <w:r w:rsidR="0037361E">
        <w:rPr>
          <w:rFonts w:ascii="宋体" w:eastAsia="宋体" w:hAnsi="宋体" w:cs="宋体" w:hint="eastAsia"/>
          <w:sz w:val="24"/>
          <w:szCs w:val="24"/>
        </w:rPr>
        <w:t>于ECMO</w:t>
      </w:r>
      <w:r>
        <w:rPr>
          <w:rFonts w:ascii="宋体" w:eastAsia="宋体" w:hAnsi="宋体" w:cs="宋体" w:hint="eastAsia"/>
          <w:sz w:val="24"/>
          <w:szCs w:val="24"/>
        </w:rPr>
        <w:t>期间监测抗凝的不同方案的有效性</w:t>
      </w:r>
      <w:r w:rsidR="0037361E">
        <w:rPr>
          <w:rFonts w:ascii="宋体" w:eastAsia="宋体" w:hAnsi="宋体" w:cs="宋体" w:hint="eastAsia"/>
          <w:sz w:val="24"/>
          <w:szCs w:val="24"/>
        </w:rPr>
        <w:t>的认识</w:t>
      </w:r>
      <w:r>
        <w:rPr>
          <w:rFonts w:ascii="宋体" w:eastAsia="宋体" w:hAnsi="宋体" w:cs="宋体" w:hint="eastAsia"/>
          <w:sz w:val="24"/>
          <w:szCs w:val="24"/>
        </w:rPr>
        <w:t>，仍存在较</w:t>
      </w:r>
      <w:r w:rsidR="0037361E">
        <w:rPr>
          <w:rFonts w:ascii="宋体" w:eastAsia="宋体" w:hAnsi="宋体" w:cs="宋体" w:hint="eastAsia"/>
          <w:sz w:val="24"/>
          <w:szCs w:val="24"/>
        </w:rPr>
        <w:t xml:space="preserve">大差异。 </w:t>
      </w:r>
      <w:r>
        <w:rPr>
          <w:rFonts w:ascii="宋体" w:eastAsia="宋体" w:hAnsi="宋体" w:cs="宋体" w:hint="eastAsia"/>
          <w:sz w:val="24"/>
          <w:szCs w:val="24"/>
        </w:rPr>
        <w:t>但是很可能没有单一的测试可以足够</w:t>
      </w:r>
      <w:r w:rsidR="0037361E">
        <w:rPr>
          <w:rFonts w:ascii="宋体" w:eastAsia="宋体" w:hAnsi="宋体" w:cs="宋体" w:hint="eastAsia"/>
          <w:sz w:val="24"/>
          <w:szCs w:val="24"/>
        </w:rPr>
        <w:t>指导正确的UFH抗凝管理。</w:t>
      </w:r>
    </w:p>
    <w:sectPr w:rsidR="00D5345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A9246" w14:textId="77777777" w:rsidR="00DE65F3" w:rsidRDefault="00DE65F3" w:rsidP="00427E8C">
      <w:r>
        <w:separator/>
      </w:r>
    </w:p>
  </w:endnote>
  <w:endnote w:type="continuationSeparator" w:id="0">
    <w:p w14:paraId="009A7245" w14:textId="77777777" w:rsidR="00DE65F3" w:rsidRDefault="00DE65F3" w:rsidP="0042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iti SC Light">
    <w:altName w:val="Calibri"/>
    <w:charset w:val="50"/>
    <w:family w:val="auto"/>
    <w:pitch w:val="variable"/>
    <w:sig w:usb0="8000002F" w:usb1="080E004A" w:usb2="00000010" w:usb3="00000000" w:csb0="003E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4376D" w14:textId="77777777" w:rsidR="00DE65F3" w:rsidRDefault="00DE65F3" w:rsidP="00427E8C">
      <w:r>
        <w:separator/>
      </w:r>
    </w:p>
  </w:footnote>
  <w:footnote w:type="continuationSeparator" w:id="0">
    <w:p w14:paraId="47179C28" w14:textId="77777777" w:rsidR="00DE65F3" w:rsidRDefault="00DE65F3" w:rsidP="00427E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5B4"/>
    <w:rsid w:val="00012C4D"/>
    <w:rsid w:val="000365F8"/>
    <w:rsid w:val="00045462"/>
    <w:rsid w:val="00055574"/>
    <w:rsid w:val="00057102"/>
    <w:rsid w:val="00060D3A"/>
    <w:rsid w:val="000614D9"/>
    <w:rsid w:val="0007274F"/>
    <w:rsid w:val="0007680F"/>
    <w:rsid w:val="0008560E"/>
    <w:rsid w:val="000875CC"/>
    <w:rsid w:val="0009776C"/>
    <w:rsid w:val="000B685C"/>
    <w:rsid w:val="000E1184"/>
    <w:rsid w:val="000F211C"/>
    <w:rsid w:val="00111A63"/>
    <w:rsid w:val="00137F21"/>
    <w:rsid w:val="00182549"/>
    <w:rsid w:val="00192694"/>
    <w:rsid w:val="00196EA2"/>
    <w:rsid w:val="001A2FE0"/>
    <w:rsid w:val="001A4C1C"/>
    <w:rsid w:val="001B6518"/>
    <w:rsid w:val="001C22F9"/>
    <w:rsid w:val="0022260A"/>
    <w:rsid w:val="00236BF3"/>
    <w:rsid w:val="002452C7"/>
    <w:rsid w:val="0024576B"/>
    <w:rsid w:val="00250A28"/>
    <w:rsid w:val="0025365F"/>
    <w:rsid w:val="002705F7"/>
    <w:rsid w:val="002748DC"/>
    <w:rsid w:val="002A327D"/>
    <w:rsid w:val="002A56F2"/>
    <w:rsid w:val="00300403"/>
    <w:rsid w:val="00322CF2"/>
    <w:rsid w:val="00341B82"/>
    <w:rsid w:val="00357EBC"/>
    <w:rsid w:val="0036518D"/>
    <w:rsid w:val="003665A4"/>
    <w:rsid w:val="0037361E"/>
    <w:rsid w:val="0039408C"/>
    <w:rsid w:val="003C3886"/>
    <w:rsid w:val="003F57A3"/>
    <w:rsid w:val="00427E8C"/>
    <w:rsid w:val="004371D4"/>
    <w:rsid w:val="0045061B"/>
    <w:rsid w:val="00453E46"/>
    <w:rsid w:val="0047594E"/>
    <w:rsid w:val="004973A6"/>
    <w:rsid w:val="004A6A2D"/>
    <w:rsid w:val="004C35DF"/>
    <w:rsid w:val="004F51B2"/>
    <w:rsid w:val="00513860"/>
    <w:rsid w:val="00525E2B"/>
    <w:rsid w:val="00564E80"/>
    <w:rsid w:val="00577E74"/>
    <w:rsid w:val="005B2A10"/>
    <w:rsid w:val="005D5250"/>
    <w:rsid w:val="005F5399"/>
    <w:rsid w:val="00601322"/>
    <w:rsid w:val="006315CE"/>
    <w:rsid w:val="006316DB"/>
    <w:rsid w:val="006404F4"/>
    <w:rsid w:val="00651E2F"/>
    <w:rsid w:val="006B011F"/>
    <w:rsid w:val="006C730A"/>
    <w:rsid w:val="007267A7"/>
    <w:rsid w:val="00746FDE"/>
    <w:rsid w:val="007478A5"/>
    <w:rsid w:val="00747C67"/>
    <w:rsid w:val="007548F8"/>
    <w:rsid w:val="00755475"/>
    <w:rsid w:val="00763BE8"/>
    <w:rsid w:val="00772A37"/>
    <w:rsid w:val="0078041B"/>
    <w:rsid w:val="00782DA8"/>
    <w:rsid w:val="007A0DD8"/>
    <w:rsid w:val="007A5EFB"/>
    <w:rsid w:val="007B4620"/>
    <w:rsid w:val="007C2E47"/>
    <w:rsid w:val="007E53BF"/>
    <w:rsid w:val="007E5997"/>
    <w:rsid w:val="0081501D"/>
    <w:rsid w:val="00825811"/>
    <w:rsid w:val="0085234B"/>
    <w:rsid w:val="00883136"/>
    <w:rsid w:val="008A2F73"/>
    <w:rsid w:val="008B5C48"/>
    <w:rsid w:val="008C58F2"/>
    <w:rsid w:val="008C78AC"/>
    <w:rsid w:val="008E1F12"/>
    <w:rsid w:val="008F3960"/>
    <w:rsid w:val="008F74B6"/>
    <w:rsid w:val="008F7B8D"/>
    <w:rsid w:val="00902BE1"/>
    <w:rsid w:val="009130EA"/>
    <w:rsid w:val="0091449C"/>
    <w:rsid w:val="0092009F"/>
    <w:rsid w:val="009240B8"/>
    <w:rsid w:val="0093794A"/>
    <w:rsid w:val="00964D02"/>
    <w:rsid w:val="00970116"/>
    <w:rsid w:val="00975306"/>
    <w:rsid w:val="00996494"/>
    <w:rsid w:val="009A3FA6"/>
    <w:rsid w:val="009B3972"/>
    <w:rsid w:val="009D3748"/>
    <w:rsid w:val="00A072CF"/>
    <w:rsid w:val="00A16264"/>
    <w:rsid w:val="00A229BD"/>
    <w:rsid w:val="00A35E0B"/>
    <w:rsid w:val="00AB36F7"/>
    <w:rsid w:val="00AD434B"/>
    <w:rsid w:val="00B16EA9"/>
    <w:rsid w:val="00B55F88"/>
    <w:rsid w:val="00B61136"/>
    <w:rsid w:val="00B97A93"/>
    <w:rsid w:val="00BA7712"/>
    <w:rsid w:val="00BB354B"/>
    <w:rsid w:val="00BC0ED3"/>
    <w:rsid w:val="00BD0DC7"/>
    <w:rsid w:val="00BE145B"/>
    <w:rsid w:val="00BE511A"/>
    <w:rsid w:val="00C340FB"/>
    <w:rsid w:val="00C64410"/>
    <w:rsid w:val="00C74FC7"/>
    <w:rsid w:val="00C94F16"/>
    <w:rsid w:val="00CA673C"/>
    <w:rsid w:val="00CE1BA6"/>
    <w:rsid w:val="00CE3F4E"/>
    <w:rsid w:val="00CF35EE"/>
    <w:rsid w:val="00D10CB9"/>
    <w:rsid w:val="00D3624E"/>
    <w:rsid w:val="00D37A0A"/>
    <w:rsid w:val="00D5345C"/>
    <w:rsid w:val="00D647E4"/>
    <w:rsid w:val="00D95E11"/>
    <w:rsid w:val="00D971C7"/>
    <w:rsid w:val="00DB256B"/>
    <w:rsid w:val="00DE0829"/>
    <w:rsid w:val="00DE65F3"/>
    <w:rsid w:val="00DF7761"/>
    <w:rsid w:val="00E02BB0"/>
    <w:rsid w:val="00E2127F"/>
    <w:rsid w:val="00E665E3"/>
    <w:rsid w:val="00E75419"/>
    <w:rsid w:val="00E7571F"/>
    <w:rsid w:val="00E770C9"/>
    <w:rsid w:val="00E84F54"/>
    <w:rsid w:val="00E85D54"/>
    <w:rsid w:val="00E90C1C"/>
    <w:rsid w:val="00EB65B4"/>
    <w:rsid w:val="00EC1361"/>
    <w:rsid w:val="00EE6188"/>
    <w:rsid w:val="00F10FF1"/>
    <w:rsid w:val="00F11D56"/>
    <w:rsid w:val="00F133F0"/>
    <w:rsid w:val="00F16DA5"/>
    <w:rsid w:val="00F5752F"/>
    <w:rsid w:val="00F62DD8"/>
    <w:rsid w:val="00F85877"/>
    <w:rsid w:val="00F90BD0"/>
    <w:rsid w:val="00F91B6C"/>
    <w:rsid w:val="00FB2CA2"/>
    <w:rsid w:val="00FB4A93"/>
    <w:rsid w:val="00FB7EC9"/>
    <w:rsid w:val="00FC7B25"/>
    <w:rsid w:val="031F5B6D"/>
    <w:rsid w:val="0EBD7304"/>
    <w:rsid w:val="104F3A41"/>
    <w:rsid w:val="21F7741F"/>
    <w:rsid w:val="7B1633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35DA84"/>
  <w15:docId w15:val="{06AE3B43-63B6-42D3-BE8F-D361B8248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7">
    <w:name w:val="Balloon Text"/>
    <w:basedOn w:val="a"/>
    <w:link w:val="a8"/>
    <w:uiPriority w:val="99"/>
    <w:semiHidden/>
    <w:unhideWhenUsed/>
    <w:rsid w:val="00C64410"/>
    <w:rPr>
      <w:rFonts w:ascii="Heiti SC Light" w:eastAsia="Heiti SC Light"/>
      <w:sz w:val="18"/>
      <w:szCs w:val="18"/>
    </w:rPr>
  </w:style>
  <w:style w:type="character" w:customStyle="1" w:styleId="a8">
    <w:name w:val="批注框文本 字符"/>
    <w:basedOn w:val="a0"/>
    <w:link w:val="a7"/>
    <w:uiPriority w:val="99"/>
    <w:semiHidden/>
    <w:rsid w:val="00C64410"/>
    <w:rPr>
      <w:rFonts w:ascii="Heiti SC Light" w:eastAsia="Heiti SC Light"/>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749</Words>
  <Characters>4272</Characters>
  <Application>Microsoft Office Word</Application>
  <DocSecurity>0</DocSecurity>
  <Lines>35</Lines>
  <Paragraphs>10</Paragraphs>
  <ScaleCrop>false</ScaleCrop>
  <Company>home</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路阳 易</dc:creator>
  <cp:lastModifiedBy>周 荣华</cp:lastModifiedBy>
  <cp:revision>4</cp:revision>
  <dcterms:created xsi:type="dcterms:W3CDTF">2020-05-15T15:15:00Z</dcterms:created>
  <dcterms:modified xsi:type="dcterms:W3CDTF">2020-06-03T05:53:00Z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