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27E1C" w14:textId="77777777" w:rsidR="00A973F7" w:rsidRPr="00AA5623" w:rsidRDefault="00A973F7" w:rsidP="00AA5623">
      <w:pPr>
        <w:spacing w:line="360" w:lineRule="auto"/>
        <w:ind w:right="880"/>
        <w:jc w:val="center"/>
        <w:rPr>
          <w:rFonts w:asciiTheme="minorEastAsia" w:eastAsiaTheme="minorEastAsia" w:hAnsiTheme="minorEastAsia" w:cstheme="majorEastAsia"/>
          <w:b/>
          <w:sz w:val="30"/>
          <w:szCs w:val="30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30"/>
          <w:szCs w:val="30"/>
          <w:lang w:eastAsia="zh-CN"/>
        </w:rPr>
        <w:t>微创二尖瓣手术中的经皮血管闭合装置</w:t>
      </w:r>
    </w:p>
    <w:p w14:paraId="6472449F" w14:textId="77777777" w:rsidR="00EB0527" w:rsidRPr="00AA5623" w:rsidRDefault="00EB0527" w:rsidP="00AA5623">
      <w:pPr>
        <w:spacing w:line="360" w:lineRule="auto"/>
        <w:ind w:right="880"/>
        <w:jc w:val="center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</w:p>
    <w:p w14:paraId="683CC8F1" w14:textId="77777777" w:rsidR="000A5727" w:rsidRPr="00AA5623" w:rsidRDefault="00A973F7" w:rsidP="00AA5623">
      <w:pPr>
        <w:spacing w:line="360" w:lineRule="auto"/>
        <w:ind w:leftChars="386" w:left="849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翻译：宋磊军 郑州市第七人民医院麻醉科 </w:t>
      </w:r>
    </w:p>
    <w:p w14:paraId="7EF5BE68" w14:textId="1F233E09" w:rsidR="00A973F7" w:rsidRDefault="00A973F7" w:rsidP="00AA5623">
      <w:pPr>
        <w:spacing w:line="360" w:lineRule="auto"/>
        <w:ind w:leftChars="386" w:left="849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审校：沈佳 上海儿童医学中心</w:t>
      </w:r>
    </w:p>
    <w:p w14:paraId="260F9C43" w14:textId="77777777" w:rsidR="00AA5623" w:rsidRPr="00AA5623" w:rsidRDefault="00AA5623" w:rsidP="00AA5623">
      <w:pPr>
        <w:spacing w:line="360" w:lineRule="auto"/>
        <w:ind w:leftChars="386" w:left="849"/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</w:pPr>
    </w:p>
    <w:p w14:paraId="34969B76" w14:textId="23D54FF4" w:rsidR="009B07D3" w:rsidRPr="00AA5623" w:rsidRDefault="00AA5623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8"/>
          <w:szCs w:val="28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8"/>
          <w:szCs w:val="28"/>
          <w:lang w:eastAsia="zh-CN"/>
        </w:rPr>
        <w:t>【</w:t>
      </w:r>
      <w:r w:rsidR="00BF6145" w:rsidRPr="00AA5623">
        <w:rPr>
          <w:rFonts w:asciiTheme="minorEastAsia" w:eastAsiaTheme="minorEastAsia" w:hAnsiTheme="minorEastAsia" w:cstheme="majorEastAsia" w:hint="eastAsia"/>
          <w:bCs/>
          <w:sz w:val="28"/>
          <w:szCs w:val="28"/>
          <w:lang w:eastAsia="zh-CN"/>
        </w:rPr>
        <w:t>摘要</w:t>
      </w:r>
      <w:r w:rsidRPr="00AA5623">
        <w:rPr>
          <w:rFonts w:asciiTheme="minorEastAsia" w:eastAsiaTheme="minorEastAsia" w:hAnsiTheme="minorEastAsia" w:cstheme="majorEastAsia" w:hint="eastAsia"/>
          <w:bCs/>
          <w:sz w:val="28"/>
          <w:szCs w:val="28"/>
          <w:lang w:eastAsia="zh-CN"/>
        </w:rPr>
        <w:t>】</w:t>
      </w:r>
    </w:p>
    <w:p w14:paraId="10D6C521" w14:textId="044869B0" w:rsidR="00A973F7" w:rsidRPr="00AA5623" w:rsidRDefault="00A973F7" w:rsidP="00AA5623">
      <w:pPr>
        <w:spacing w:line="360" w:lineRule="auto"/>
        <w:ind w:leftChars="386" w:left="849" w:right="880" w:firstLineChars="200" w:firstLine="482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4"/>
          <w:szCs w:val="24"/>
          <w:lang w:eastAsia="zh-CN"/>
        </w:rPr>
        <w:t>背景</w:t>
      </w:r>
      <w:r w:rsidR="009B07D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：</w:t>
      </w:r>
      <w:r w:rsidR="00FD5B8B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微创二尖瓣手术主要通过手术切开行</w:t>
      </w:r>
      <w:r w:rsidR="00A3673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股动脉插管进行体外循环。腹股沟手术切口常伴有诸如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血肿和感染等并发症。我们评估了微创二尖瓣手术中</w:t>
      </w:r>
      <w:r w:rsidR="00A3673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，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经皮置入的大口径血管闭合装置（VCD</w:t>
      </w:r>
      <w:r w:rsidR="00A3673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）来闭合股动脉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的安全性和有效性。</w:t>
      </w:r>
    </w:p>
    <w:p w14:paraId="1A552C80" w14:textId="1C34375E" w:rsidR="00A973F7" w:rsidRPr="00AA5623" w:rsidRDefault="00A973F7" w:rsidP="00AA5623">
      <w:pPr>
        <w:spacing w:line="360" w:lineRule="auto"/>
        <w:ind w:leftChars="386" w:left="849" w:right="880" w:firstLineChars="200" w:firstLine="482"/>
        <w:rPr>
          <w:rFonts w:asciiTheme="minorEastAsia" w:eastAsiaTheme="minorEastAsia" w:hAnsiTheme="minorEastAsia" w:cstheme="majorEastAsia"/>
          <w:bCs/>
          <w:sz w:val="24"/>
          <w:szCs w:val="24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4"/>
          <w:szCs w:val="24"/>
        </w:rPr>
        <w:t>方法</w:t>
      </w:r>
      <w:r w:rsidR="00A3673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：</w:t>
      </w:r>
      <w:r w:rsidR="002965A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这是一项单中心前瞻性研究，患者行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微创二尖瓣手术</w:t>
      </w:r>
      <w:r w:rsidR="00FD5B8B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，经外科手术</w:t>
      </w:r>
      <w:r w:rsidR="002965A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切开</w:t>
      </w:r>
      <w:r w:rsidR="00FD5B8B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置管，</w:t>
      </w:r>
      <w:r w:rsidR="002965A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或经皮穿刺行股动脉插管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，</w:t>
      </w:r>
      <w:r w:rsidR="002965A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插管径路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使用</w:t>
      </w:r>
      <w:r w:rsidR="002965A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插入式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VCD</w:t>
      </w:r>
      <w:r w:rsidR="002965A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装置关闭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（</w:t>
      </w:r>
      <w:r w:rsidRPr="00AA5623">
        <w:rPr>
          <w:rFonts w:asciiTheme="minorEastAsia" w:eastAsiaTheme="minorEastAsia" w:hAnsiTheme="minorEastAsia" w:cstheme="majorEastAsia"/>
          <w:bCs/>
          <w:sz w:val="24"/>
          <w:szCs w:val="24"/>
        </w:rPr>
        <w:t>MANTA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 xml:space="preserve">； </w:t>
      </w:r>
      <w:r w:rsidR="00237795" w:rsidRPr="00AA5623">
        <w:rPr>
          <w:rFonts w:asciiTheme="minorEastAsia" w:eastAsiaTheme="minorEastAsia" w:hAnsiTheme="minorEastAsia" w:cstheme="majorEastAsia"/>
          <w:bCs/>
          <w:sz w:val="24"/>
          <w:szCs w:val="24"/>
        </w:rPr>
        <w:t xml:space="preserve">Teleflex/Essential </w:t>
      </w:r>
      <w:proofErr w:type="spellStart"/>
      <w:proofErr w:type="gramStart"/>
      <w:r w:rsidRPr="00AA5623">
        <w:rPr>
          <w:rFonts w:asciiTheme="minorEastAsia" w:eastAsiaTheme="minorEastAsia" w:hAnsiTheme="minorEastAsia" w:cstheme="majorEastAsia"/>
          <w:bCs/>
          <w:sz w:val="24"/>
          <w:szCs w:val="24"/>
        </w:rPr>
        <w:t>Medical</w:t>
      </w:r>
      <w:r w:rsidR="00237795" w:rsidRPr="00AA5623"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  <w:t>,</w:t>
      </w:r>
      <w:r w:rsidRPr="00AA5623">
        <w:rPr>
          <w:rFonts w:asciiTheme="minorEastAsia" w:eastAsiaTheme="minorEastAsia" w:hAnsiTheme="minorEastAsia" w:cstheme="majorEastAsia"/>
          <w:bCs/>
          <w:sz w:val="24"/>
          <w:szCs w:val="24"/>
        </w:rPr>
        <w:t>Malvern</w:t>
      </w:r>
      <w:proofErr w:type="gramEnd"/>
      <w:r w:rsidR="0023779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,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PA</w:t>
      </w:r>
      <w:proofErr w:type="spellEnd"/>
      <w:r w:rsidR="002965A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）。</w:t>
      </w:r>
    </w:p>
    <w:p w14:paraId="5098F61A" w14:textId="61816506" w:rsidR="00A973F7" w:rsidRPr="00AA5623" w:rsidRDefault="00A973F7" w:rsidP="00AA5623">
      <w:pPr>
        <w:spacing w:line="360" w:lineRule="auto"/>
        <w:ind w:leftChars="386" w:left="849" w:right="880" w:firstLineChars="200" w:firstLine="482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4"/>
          <w:szCs w:val="24"/>
          <w:lang w:eastAsia="zh-CN"/>
        </w:rPr>
        <w:t>结果</w:t>
      </w:r>
      <w:r w:rsidR="0023779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：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2016年到2018年</w:t>
      </w:r>
      <w:r w:rsidR="0023779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期间，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共268</w:t>
      </w:r>
      <w:r w:rsidR="0023779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例患者（经外科手术切开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147例，</w:t>
      </w:r>
      <w:r w:rsidR="0023779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VCD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121例</w:t>
      </w:r>
      <w:r w:rsidR="0023779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）行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二尖瓣微创手术，股动脉插管尺寸为19F或21F。倾向得分匹配产生109个匹配对。在整个系列研究和倾向配对研究中，VCD</w:t>
      </w:r>
      <w:r w:rsidR="003676AE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患者的插管径路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部位血管并发症的发生率均显着较高（总体研究人群：0％</w:t>
      </w:r>
      <w:r w:rsidR="00BF614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vs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4.1％；P=0.013；倾向得分匹配的同类人群：0％</w:t>
      </w:r>
      <w:r w:rsidR="00BF614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vs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4.6％；P=0.024）。两组均未发生出血。在整个系列中</w:t>
      </w:r>
      <w:r w:rsidR="003676AE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，手术切开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患者的血肿的发生率高（10.9％vs0％；P&lt;0.001</w:t>
      </w:r>
      <w:r w:rsidR="003676AE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）。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VCD组</w:t>
      </w:r>
      <w:r w:rsidR="00BF6145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患者未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发生感染和血肿。</w:t>
      </w:r>
    </w:p>
    <w:p w14:paraId="3D2436DF" w14:textId="5204B0CF" w:rsidR="00AA5623" w:rsidRDefault="00A973F7" w:rsidP="00AA5623">
      <w:pPr>
        <w:spacing w:line="360" w:lineRule="auto"/>
        <w:ind w:leftChars="386" w:left="849" w:right="880" w:firstLineChars="200" w:firstLine="482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4"/>
          <w:szCs w:val="24"/>
          <w:lang w:eastAsia="zh-CN"/>
        </w:rPr>
        <w:t>结论</w:t>
      </w:r>
      <w:r w:rsidR="003676AE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：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在微创二尖瓣手术中使用新型的VCD</w:t>
      </w:r>
      <w:r w:rsidR="003676AE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装置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闭合经皮股动脉插管</w:t>
      </w:r>
      <w:r w:rsidR="003676AE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的插管径路，可以消除传统的并发症，这种并发症通常是手术切开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部位的血肿和感染，但以增加血管并发症的风险为代价。</w:t>
      </w:r>
    </w:p>
    <w:p w14:paraId="18FFCB5F" w14:textId="77777777" w:rsidR="00AA5623" w:rsidRPr="00AA5623" w:rsidRDefault="00AA5623" w:rsidP="00AA5623">
      <w:pPr>
        <w:spacing w:line="360" w:lineRule="auto"/>
        <w:ind w:leftChars="386" w:left="849" w:right="880" w:firstLineChars="200" w:firstLine="480"/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</w:pPr>
    </w:p>
    <w:p w14:paraId="3E9AD2ED" w14:textId="386684ED" w:rsidR="00AA5623" w:rsidRPr="00AA5623" w:rsidRDefault="00AA5623" w:rsidP="00AA5623">
      <w:pPr>
        <w:spacing w:line="360" w:lineRule="auto"/>
        <w:ind w:right="880"/>
        <w:rPr>
          <w:rFonts w:asciiTheme="minorEastAsia" w:eastAsiaTheme="minorEastAsia" w:hAnsiTheme="minorEastAsia" w:cstheme="majorEastAsia" w:hint="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ajorEastAsia" w:hint="eastAsia"/>
          <w:b/>
          <w:sz w:val="24"/>
          <w:szCs w:val="24"/>
          <w:lang w:eastAsia="zh-CN"/>
        </w:rPr>
        <w:t xml:space="preserve"> </w:t>
      </w:r>
      <w:r w:rsidRPr="00AA5623">
        <w:rPr>
          <w:rFonts w:asciiTheme="minorEastAsia" w:eastAsiaTheme="minorEastAsia" w:hAnsiTheme="minorEastAsia" w:cstheme="majorEastAsia"/>
          <w:b/>
          <w:sz w:val="28"/>
          <w:szCs w:val="28"/>
          <w:lang w:eastAsia="zh-CN"/>
        </w:rPr>
        <w:t xml:space="preserve">      </w:t>
      </w:r>
      <w:r w:rsidRPr="00AA5623">
        <w:rPr>
          <w:rFonts w:asciiTheme="minorEastAsia" w:eastAsiaTheme="minorEastAsia" w:hAnsiTheme="minorEastAsia" w:cstheme="majorEastAsia" w:hint="eastAsia"/>
          <w:b/>
          <w:sz w:val="28"/>
          <w:szCs w:val="28"/>
          <w:lang w:eastAsia="zh-CN"/>
        </w:rPr>
        <w:t>前言</w:t>
      </w:r>
    </w:p>
    <w:p w14:paraId="2DD398F5" w14:textId="4430DC6F" w:rsidR="00A973F7" w:rsidRPr="00AA5623" w:rsidRDefault="000803BD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    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微创二尖瓣手术（MIMVS）需要股动脉插管才能进入体外循环（ECC</w:t>
      </w:r>
      <w:r w:rsidR="00C63841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）。目前主要是在直视下进行外科手术切开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和动脉穿刺，并用荷包缝合的方式进行穿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刺，这与增加血肿和感染的风险有关。经皮股动脉和静脉插管是手术切开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替代方法。然而ECC插管的大尺寸给动脉通路管理带来了挑战。在需要较大口径导管的经皮经股动脉介入手术中，例如经导管主动脉瓣植入（TAVI），专用的大血管血管闭合装置（VCD）在血管损伤，出血和感染方面已显示出令人鼓舞的初步结果。这项</w:t>
      </w:r>
      <w:proofErr w:type="gramStart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单中心</w:t>
      </w:r>
      <w:proofErr w:type="gramEnd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前瞻性比较研究旨在研究MIMVS中新型经皮置入的大口径VCD的安全性和有效性。</w:t>
      </w:r>
    </w:p>
    <w:p w14:paraId="06973AAC" w14:textId="77777777" w:rsidR="00AA5623" w:rsidRDefault="00AA5623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/>
          <w:sz w:val="24"/>
          <w:szCs w:val="24"/>
          <w:lang w:eastAsia="zh-CN"/>
        </w:rPr>
      </w:pPr>
    </w:p>
    <w:p w14:paraId="299FC2C7" w14:textId="2EAB8EEF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/>
          <w:sz w:val="28"/>
          <w:szCs w:val="28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8"/>
          <w:szCs w:val="28"/>
          <w:lang w:eastAsia="zh-CN"/>
        </w:rPr>
        <w:t>患者和方法</w:t>
      </w:r>
    </w:p>
    <w:p w14:paraId="7100029D" w14:textId="284BE885" w:rsidR="00A973F7" w:rsidRDefault="00A973F7" w:rsidP="00AA5623">
      <w:pPr>
        <w:spacing w:line="360" w:lineRule="auto"/>
        <w:ind w:leftChars="386" w:left="849" w:right="880" w:firstLine="480"/>
        <w:rPr>
          <w:rFonts w:asciiTheme="minorEastAsia" w:eastAsiaTheme="minorEastAsia" w:hAnsiTheme="minorEastAsia" w:cstheme="majorEastAsia"/>
          <w:bCs/>
          <w:sz w:val="24"/>
          <w:szCs w:val="24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2016年2月至2018年12月</w:t>
      </w:r>
      <w:r w:rsidR="00AE522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，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在瑞典斯德哥尔摩卡罗林斯卡大学医院接受MIMVS治疗的所有患</w:t>
      </w:r>
      <w:r w:rsidR="00AE522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者。股部插管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是</w:t>
      </w:r>
      <w:r w:rsidR="00AE522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在直视下行手术切开和动脉穿刺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，并采用荷包闭合术（患者于2016年2月至2017年8</w:t>
      </w:r>
      <w:r w:rsidR="00AE522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月进行手术），或动脉通路采用经皮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MANTA VCD</w:t>
      </w:r>
      <w:r w:rsidR="00AE522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封闭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（患者于2017年8月至2018年12月进</w:t>
      </w:r>
      <w:r w:rsidR="00AE522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行手术）。尚无法通过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筛查来确定患者是否适合经皮插管。</w:t>
      </w:r>
      <w:bookmarkStart w:id="0" w:name="Surgical_Technique"/>
      <w:bookmarkStart w:id="1" w:name="Outcomes"/>
      <w:bookmarkEnd w:id="0"/>
      <w:bookmarkEnd w:id="1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术前患者未进行计算机体层摄影术以</w:t>
      </w:r>
      <w:proofErr w:type="gramStart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评估股</w:t>
      </w:r>
      <w:proofErr w:type="gramEnd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血管情况。人口统计学和术前，术中和术后数据均前瞻性地从医学图表中收集。该研究得到瑞典斯德哥尔摩地区人类研究伦理委员会的批准。</w:t>
      </w:r>
    </w:p>
    <w:p w14:paraId="6E381228" w14:textId="77777777" w:rsidR="00AA5623" w:rsidRPr="00AA5623" w:rsidRDefault="00AA5623" w:rsidP="00AA5623">
      <w:pPr>
        <w:spacing w:line="360" w:lineRule="auto"/>
        <w:ind w:leftChars="386" w:left="849" w:right="880" w:firstLine="480"/>
        <w:rPr>
          <w:rFonts w:asciiTheme="minorEastAsia" w:eastAsiaTheme="minorEastAsia" w:hAnsiTheme="minorEastAsia" w:cstheme="majorEastAsia"/>
          <w:bCs/>
          <w:sz w:val="24"/>
          <w:szCs w:val="24"/>
        </w:rPr>
      </w:pPr>
    </w:p>
    <w:p w14:paraId="28713553" w14:textId="61BDD78E" w:rsidR="00A973F7" w:rsidRPr="00AA5623" w:rsidRDefault="00AA5623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/>
          <w:sz w:val="24"/>
          <w:szCs w:val="24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4"/>
          <w:szCs w:val="24"/>
          <w:lang w:eastAsia="zh-CN"/>
        </w:rPr>
        <w:t>终点指标</w:t>
      </w:r>
    </w:p>
    <w:p w14:paraId="1A178766" w14:textId="3A8EB24B" w:rsidR="00A973F7" w:rsidRDefault="00C76A3C" w:rsidP="00AA5623">
      <w:pPr>
        <w:spacing w:line="360" w:lineRule="auto"/>
        <w:ind w:leftChars="386" w:left="849" w:right="880" w:firstLine="4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主要</w:t>
      </w:r>
      <w:r w:rsid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终点指标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是根据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瓣膜学术研究协会</w:t>
      </w:r>
      <w:r w:rsidRPr="00AA5623"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  <w:t>(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VARC</w:t>
      </w:r>
      <w:r w:rsidRPr="00AA5623"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  <w:t>)-2</w:t>
      </w:r>
      <w:r w:rsidR="0020698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定义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标准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，</w:t>
      </w:r>
      <w:r w:rsidR="0020698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插管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部位</w:t>
      </w:r>
      <w:r w:rsidR="0020698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的重大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血管</w:t>
      </w:r>
      <w:r w:rsidR="0020698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性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并发症，包括出血和经皮VCD失败。次要</w:t>
      </w:r>
      <w:r w:rsid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终点指标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是根据VARC-2定义标准的</w:t>
      </w:r>
      <w:r w:rsidR="0020698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插管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部位</w:t>
      </w:r>
      <w:r w:rsidR="0020698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的轻微血管并发症，如血肿，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感染以及6周随访时出现的任何</w:t>
      </w:r>
      <w:r w:rsidR="00206986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该部位的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并发症。</w:t>
      </w:r>
    </w:p>
    <w:p w14:paraId="6F27F6FC" w14:textId="77777777" w:rsidR="00AA5623" w:rsidRPr="00AA5623" w:rsidRDefault="00AA5623" w:rsidP="00AA5623">
      <w:pPr>
        <w:spacing w:line="360" w:lineRule="auto"/>
        <w:ind w:leftChars="386" w:left="849" w:right="880" w:firstLine="480"/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</w:pPr>
    </w:p>
    <w:p w14:paraId="13B20A28" w14:textId="77777777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4"/>
          <w:szCs w:val="24"/>
          <w:lang w:eastAsia="zh-CN"/>
        </w:rPr>
        <w:t>外科技术</w:t>
      </w:r>
    </w:p>
    <w:p w14:paraId="303C598E" w14:textId="32D9D05B" w:rsidR="00A973F7" w:rsidRPr="00AA5623" w:rsidRDefault="000803BD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    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基于胶原蛋白的MANTA系统提供14F和18F的VCD，可封闭10F至14F的穿刺孔和15F至22F的穿刺鞘。本研究中仅使用了后者，因为在我们中心用于MIMVS的ECC插管的尺寸范围从19F到21F。超声引导下经皮股动脉插管进行ECC</w:t>
      </w:r>
      <w:r w:rsidR="004D4B2A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。通过膀胱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下穿刺术将一根导丝引入股动脉中段，并使用经食道超声心动图检查在降主动脉中确认正确的位置。</w:t>
      </w:r>
      <w:r w:rsidR="00D56DC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具体操作过程见</w:t>
      </w:r>
      <w:r w:rsidR="00AB36A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（</w:t>
      </w:r>
      <w:r w:rsidR="00D56DC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图1</w:t>
      </w:r>
      <w:r w:rsidR="00AB36A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</w:t>
      </w:r>
      <w:r w:rsidR="00D56DC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。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止血后在皮肤水平切断缝合线。拔出ECC套管后在静脉旁施加手动按压10分钟。手术后</w:t>
      </w:r>
      <w:r w:rsidR="00D56DC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在重症监护病房每小时通过临床评估和足背动脉多普勒超声检查，评估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插管腿的远端灌注</w:t>
      </w:r>
      <w:r w:rsidR="00D56DC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是否足够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。</w:t>
      </w:r>
    </w:p>
    <w:p w14:paraId="164458D5" w14:textId="77777777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w w:val="115"/>
          <w:sz w:val="24"/>
          <w:szCs w:val="24"/>
          <w:lang w:eastAsia="zh-CN"/>
        </w:rPr>
      </w:pPr>
      <w:bookmarkStart w:id="2" w:name="Percutaneous_Vascular_Closure_Device_in_"/>
      <w:bookmarkStart w:id="3" w:name="Patients_and_Methods"/>
      <w:bookmarkEnd w:id="2"/>
      <w:bookmarkEnd w:id="3"/>
      <w:r w:rsidRPr="00AA5623">
        <w:rPr>
          <w:rFonts w:asciiTheme="minorEastAsia" w:eastAsiaTheme="minorEastAsia" w:hAnsiTheme="minorEastAsia" w:cstheme="majorEastAsia"/>
          <w:bCs/>
          <w:noProof/>
          <w:w w:val="11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859E2C" wp14:editId="0711C9BE">
                <wp:simplePos x="0" y="0"/>
                <wp:positionH relativeFrom="page">
                  <wp:posOffset>151765</wp:posOffset>
                </wp:positionH>
                <wp:positionV relativeFrom="page">
                  <wp:posOffset>488315</wp:posOffset>
                </wp:positionV>
                <wp:extent cx="144780" cy="921385"/>
                <wp:effectExtent l="0" t="5715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5C634" w14:textId="77777777" w:rsidR="00BF6145" w:rsidRDefault="00BF6145" w:rsidP="00A973F7">
                            <w:pPr>
                              <w:spacing w:before="16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幼圆" w:eastAsia="幼圆" w:hAnsi="宋体" w:cs="宋体" w:hint="eastAsia"/>
                                <w:color w:val="FFFFFF"/>
                                <w:w w:val="110"/>
                                <w:sz w:val="16"/>
                              </w:rPr>
                              <w:t>成人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59E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.95pt;margin-top:38.45pt;width:11.4pt;height:72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" filled="f" stroked="f">
                <v:textbox style="layout-flow:vertical;mso-layout-flow-alt:bottom-to-top" inset="0,0,0,0">
                  <w:txbxContent>
                    <w:p w14:paraId="2A95C634" w14:textId="77777777" w:rsidR="00BF6145" w:rsidRDefault="00BF6145" w:rsidP="00A973F7">
                      <w:pPr>
                        <w:spacing w:before="16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rFonts w:ascii="幼圆" w:eastAsia="幼圆" w:hAnsi="宋体" w:cs="宋体" w:hint="eastAsia"/>
                          <w:color w:val="FFFFFF"/>
                          <w:w w:val="110"/>
                          <w:sz w:val="16"/>
                        </w:rPr>
                        <w:t>成人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0985A" w14:textId="77777777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w w:val="115"/>
          <w:sz w:val="24"/>
          <w:szCs w:val="24"/>
        </w:rPr>
      </w:pPr>
      <w:r w:rsidRPr="00AA5623">
        <w:rPr>
          <w:rFonts w:asciiTheme="minorEastAsia" w:eastAsiaTheme="minorEastAsia" w:hAnsiTheme="minorEastAsia" w:cstheme="majorEastAsia" w:hint="eastAsia"/>
          <w:bCs/>
          <w:noProof/>
          <w:w w:val="115"/>
          <w:sz w:val="24"/>
          <w:szCs w:val="24"/>
        </w:rPr>
        <w:lastRenderedPageBreak/>
        <w:drawing>
          <wp:inline distT="0" distB="0" distL="0" distR="0" wp14:anchorId="507523A3" wp14:editId="2CFC7037">
            <wp:extent cx="4709297" cy="4041586"/>
            <wp:effectExtent l="0" t="0" r="0" b="0"/>
            <wp:docPr id="3" name="image2.jpeg" descr="7375;Image of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7375;Image of Fig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764" cy="404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19EA5" w14:textId="77777777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w w:val="115"/>
          <w:sz w:val="24"/>
          <w:szCs w:val="24"/>
        </w:rPr>
      </w:pPr>
    </w:p>
    <w:p w14:paraId="631FF3A2" w14:textId="77777777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</w:rPr>
      </w:pPr>
      <w:bookmarkStart w:id="4" w:name="_bookmark0"/>
      <w:bookmarkEnd w:id="4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图</w:t>
      </w:r>
      <w:proofErr w:type="gramStart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1.用</w:t>
      </w:r>
      <w:proofErr w:type="gramEnd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MANTA血管闭合装置（</w:t>
      </w:r>
      <w:r w:rsidR="00C63841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Teleflex／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 xml:space="preserve">Essential </w:t>
      </w:r>
      <w:proofErr w:type="spellStart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Medical，宾夕法尼亚州马尔文）进行动脉通路闭合的示意图</w:t>
      </w:r>
      <w:proofErr w:type="spellEnd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。</w:t>
      </w:r>
    </w:p>
    <w:p w14:paraId="5BD289EE" w14:textId="09D9D55F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（</w:t>
      </w:r>
      <w:proofErr w:type="spellStart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A）MANTA密封装置交付手柄</w:t>
      </w:r>
      <w:proofErr w:type="spellEnd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。 （B）在体外循环插管之前，插入8-F</w:t>
      </w:r>
      <w:proofErr w:type="spellStart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深度定位器以评估从皮肤到股动脉壁内侧的距离</w:t>
      </w:r>
      <w:proofErr w:type="spellEnd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</w:rPr>
        <w:t>。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这将有助于在关闭过程中对输送系统进行定位。 （C）瓣膜手术完成后，将体外循环动脉套管更换为MANTA护套。 （D）插入了封闭装置。（E）将闭合单元拉出至预定的展开高度，并释放肘节。 （F）撤回组装部件，并通过不锈钢锁将胶原蛋白</w:t>
      </w:r>
      <w:proofErr w:type="gramStart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垫固定</w:t>
      </w:r>
      <w:proofErr w:type="gramEnd"/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在动脉外壁上。止血后，在皮肤水平切开缝合线。图片由美国宾夕法尼亚州马尔文的Tel</w:t>
      </w:r>
      <w:r w:rsidR="00D56DC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eflex／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Essential Medical Inc.提供。</w:t>
      </w:r>
    </w:p>
    <w:p w14:paraId="160BC88E" w14:textId="77777777" w:rsidR="00A973F7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</w:p>
    <w:p w14:paraId="370267DF" w14:textId="0323F8C8" w:rsidR="00AA5623" w:rsidRPr="00AA5623" w:rsidRDefault="00AA5623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sectPr w:rsidR="00AA5623" w:rsidRPr="00AA5623" w:rsidSect="00A973F7">
          <w:pgSz w:w="11880" w:h="15840"/>
          <w:pgMar w:top="720" w:right="720" w:bottom="720" w:left="720" w:header="720" w:footer="720" w:gutter="0"/>
          <w:cols w:space="720"/>
        </w:sectPr>
      </w:pPr>
    </w:p>
    <w:p w14:paraId="7257ABE0" w14:textId="77777777" w:rsidR="00A973F7" w:rsidRPr="00AA5623" w:rsidRDefault="000803BD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   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通过腹股沟的3cm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斜切口进行手术切开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的ECC插管，可充分暴露于股血管，具有较低的切口并发症。直视下解剖皮下组织以</w:t>
      </w:r>
      <w:proofErr w:type="gramStart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暴露股</w:t>
      </w:r>
      <w:proofErr w:type="gramEnd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血管，注意不要破坏位于血管附近的淋巴管。利用</w:t>
      </w:r>
      <w:proofErr w:type="spellStart"/>
      <w:r w:rsidR="00A973F7" w:rsidRPr="00AA5623"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  <w:t>Seldinger</w:t>
      </w:r>
      <w:proofErr w:type="spellEnd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技术使用19F或21F动脉套管在直视下向前方插管股动脉，并通过经食道超声心动图确认正确的位置。拔管后，手术</w:t>
      </w:r>
      <w:proofErr w:type="gramStart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切除组</w:t>
      </w:r>
      <w:proofErr w:type="gramEnd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的所有股动脉穿刺部位仅用荷包缝合。使用两层或三层皮下缝合线，然后进行皮内缝合。所有患者均使用主动脉阻断钳。</w:t>
      </w:r>
    </w:p>
    <w:p w14:paraId="6B69C438" w14:textId="77777777" w:rsidR="00D56DCF" w:rsidRPr="00AA5623" w:rsidRDefault="00D56DCF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</w:p>
    <w:p w14:paraId="3E77241F" w14:textId="77777777" w:rsidR="00AA5623" w:rsidRDefault="00AA5623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</w:p>
    <w:p w14:paraId="2869B6B9" w14:textId="5D19B665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/>
          <w:sz w:val="28"/>
          <w:szCs w:val="28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8"/>
          <w:szCs w:val="28"/>
          <w:lang w:eastAsia="zh-CN"/>
        </w:rPr>
        <w:t xml:space="preserve">结果   </w:t>
      </w:r>
    </w:p>
    <w:p w14:paraId="0D2A3FFC" w14:textId="67287253" w:rsidR="00250287" w:rsidRPr="00AA5623" w:rsidRDefault="00D56DCF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    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术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后结果见</w:t>
      </w:r>
      <w:hyperlink w:anchor="_bookmark3" w:history="1">
        <w:r w:rsidR="00A973F7" w:rsidRPr="00AA5623">
          <w:rPr>
            <w:rFonts w:asciiTheme="minorEastAsia" w:eastAsiaTheme="minorEastAsia" w:hAnsiTheme="minorEastAsia" w:cstheme="majorEastAsia" w:hint="eastAsia"/>
            <w:bCs/>
            <w:sz w:val="24"/>
            <w:szCs w:val="24"/>
            <w:lang w:eastAsia="zh-CN"/>
          </w:rPr>
          <w:t>表2</w:t>
        </w:r>
      </w:hyperlink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。在整个系列研究和倾向匹配的队列研究中，VCD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患者与外科切开患者相比，主要插管径路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部位血管并发症（VARC-2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）的发生率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更高。封闭装置2名VCD患者发生了栓塞：1例患者在股动脉手术切开后可以取出器械，1例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患者的器械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锚栓栓塞肢体远端，需要通过导管切除术后恢复。两名患者的</w:t>
      </w:r>
      <w:proofErr w:type="gramStart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随访均</w:t>
      </w:r>
      <w:proofErr w:type="gramEnd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顺利。 3名VCD患者发展为股动脉狭窄并伴有间歇性跛行症状：1例患者成功进行了血管手术，1例患者计划随访，1例患者发生短暂性跛行，并通过侧支循环进行了渐进性代偿。在整个队列中，有2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例外科切开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者发生了轻微的插管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部位血管并发症（VARC-2）：1例患有短暂性神经损伤，1例血肿由于股静脉阻塞而需要引流。</w:t>
      </w:r>
      <w:r w:rsidR="0028417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两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组均未发生出血和需要VARC-2主要血管和次要血管并发症所定义的侵入性出血治疗。在整个系列以及倾向得分匹配的队列中，与VCD患者相比，</w:t>
      </w:r>
      <w:r w:rsidR="00AA5623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外科切开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患者发生任何进入部位并发症的发生率更高，尽管这仅在整个队列中很显着（总体队列：13.6％vs4.1％；P=0.008，倾向得分匹配的同类人群：11.0％vs4.6％；P=0.077</w:t>
      </w:r>
      <w:r w:rsidR="00F8785A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）。血肿占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大多数（整个系列：10.9％；倾向得分与同类人群：8.3％）。在整个队列中，有2名</w:t>
      </w:r>
      <w:r w:rsidR="00F8785A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（1.4%</w:t>
      </w:r>
      <w:r w:rsidR="00F8785A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）外科手术切开部位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发生腹股沟感染，需要进行抗生素治疗。VCD组</w:t>
      </w:r>
      <w:r w:rsidR="00F8785A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患者</w:t>
      </w:r>
      <w:r w:rsidR="0025028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未发生感染和血肿。</w:t>
      </w:r>
    </w:p>
    <w:p w14:paraId="28E56903" w14:textId="77777777" w:rsidR="00A973F7" w:rsidRPr="00AA5623" w:rsidRDefault="00A973F7" w:rsidP="00AA5623">
      <w:pPr>
        <w:spacing w:line="360" w:lineRule="auto"/>
        <w:ind w:leftChars="386" w:left="849"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</w:p>
    <w:p w14:paraId="03FA4FFE" w14:textId="3A2D4C33" w:rsidR="00A973F7" w:rsidRPr="00AA5623" w:rsidRDefault="00202E88" w:rsidP="00AA5623">
      <w:pPr>
        <w:spacing w:line="360" w:lineRule="auto"/>
        <w:ind w:right="880"/>
        <w:rPr>
          <w:rFonts w:asciiTheme="minorEastAsia" w:eastAsiaTheme="minorEastAsia" w:hAnsiTheme="minorEastAsia" w:cstheme="majorEastAsia"/>
          <w:bCs/>
          <w:w w:val="115"/>
          <w:sz w:val="24"/>
          <w:szCs w:val="24"/>
        </w:rPr>
        <w:sectPr w:rsidR="00A973F7" w:rsidRPr="00AA5623">
          <w:type w:val="continuous"/>
          <w:pgSz w:w="11880" w:h="15840"/>
          <w:pgMar w:top="720" w:right="720" w:bottom="720" w:left="720" w:header="720" w:footer="720" w:gutter="0"/>
          <w:cols w:space="425"/>
        </w:sectPr>
      </w:pPr>
      <w:r w:rsidRPr="00AA5623">
        <w:rPr>
          <w:rFonts w:asciiTheme="minorEastAsia" w:eastAsiaTheme="minorEastAsia" w:hAnsiTheme="minorEastAsia" w:cstheme="majorEastAsia"/>
          <w:bCs/>
          <w:noProof/>
          <w:w w:val="115"/>
          <w:sz w:val="24"/>
          <w:szCs w:val="24"/>
          <w:lang w:eastAsia="zh-CN" w:bidi="ar-SA"/>
        </w:rPr>
        <w:lastRenderedPageBreak/>
        <w:drawing>
          <wp:inline distT="0" distB="0" distL="0" distR="0" wp14:anchorId="12759B83" wp14:editId="6F074C0B">
            <wp:extent cx="6629400" cy="5235148"/>
            <wp:effectExtent l="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D9C5" w14:textId="77777777" w:rsidR="00AA5623" w:rsidRDefault="00AA5623" w:rsidP="00AA5623">
      <w:pPr>
        <w:spacing w:line="360" w:lineRule="auto"/>
        <w:ind w:right="880"/>
        <w:rPr>
          <w:rFonts w:asciiTheme="minorEastAsia" w:eastAsiaTheme="minorEastAsia" w:hAnsiTheme="minorEastAsia" w:cstheme="majorEastAsia"/>
          <w:b/>
          <w:sz w:val="28"/>
          <w:szCs w:val="28"/>
          <w:lang w:eastAsia="zh-CN"/>
        </w:rPr>
      </w:pPr>
      <w:bookmarkStart w:id="5" w:name="Comment"/>
      <w:bookmarkStart w:id="6" w:name="_bookmark1"/>
      <w:bookmarkEnd w:id="5"/>
      <w:bookmarkEnd w:id="6"/>
    </w:p>
    <w:p w14:paraId="34DB63B8" w14:textId="2E57C94A" w:rsidR="00A973F7" w:rsidRPr="00AA5623" w:rsidRDefault="00284177" w:rsidP="00AA5623">
      <w:pPr>
        <w:spacing w:line="360" w:lineRule="auto"/>
        <w:ind w:right="880"/>
        <w:rPr>
          <w:rFonts w:asciiTheme="minorEastAsia" w:eastAsiaTheme="minorEastAsia" w:hAnsiTheme="minorEastAsia" w:cstheme="majorEastAsia"/>
          <w:b/>
          <w:sz w:val="28"/>
          <w:szCs w:val="28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/>
          <w:sz w:val="28"/>
          <w:szCs w:val="28"/>
          <w:lang w:eastAsia="zh-CN"/>
        </w:rPr>
        <w:t>讨论</w:t>
      </w:r>
    </w:p>
    <w:p w14:paraId="5F8D5645" w14:textId="2CCC4D95" w:rsidR="00A973F7" w:rsidRPr="00AA5623" w:rsidRDefault="00284177" w:rsidP="00AA5623">
      <w:pPr>
        <w:spacing w:line="360" w:lineRule="auto"/>
        <w:ind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    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这项研究表明，新颖的基于MANTA经皮置入的大孔径VCD在ECC插管后闭合股动脉非常适用于MIMVS，并且并发症发生率低。与外科手术切除相比，VCD闭合消除了与腹股沟切口相关的传统并</w:t>
      </w: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发症，没有增加进入部位的血肿和感染，但是以增加血管并发症的风险为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代价。</w:t>
      </w:r>
    </w:p>
    <w:p w14:paraId="7AE2A272" w14:textId="3A803CF6" w:rsidR="00A973F7" w:rsidRPr="00AA5623" w:rsidRDefault="00FD5B8B" w:rsidP="00AA5623">
      <w:pPr>
        <w:spacing w:line="360" w:lineRule="auto"/>
        <w:ind w:right="880"/>
        <w:rPr>
          <w:rFonts w:asciiTheme="minorEastAsia" w:eastAsiaTheme="minorEastAsia" w:hAnsiTheme="minorEastAsia" w:cstheme="majorEastAsia"/>
          <w:bCs/>
          <w:sz w:val="24"/>
          <w:szCs w:val="24"/>
          <w:lang w:eastAsia="zh-CN"/>
        </w:rPr>
      </w:pPr>
      <w:r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    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VARC-2主要血管并发症在该系列的早期和晚期均发生，并且与外科医生的VCD关闭经验水平无关。与先前报道的TAVI病例相比，本研究中MANTA患者的血管并发症发生率较低。在我们的总体队列中，有4.1％的MANTA患者出现了与</w:t>
      </w:r>
      <w:r w:rsidR="00A973F7" w:rsidRPr="00AA5623">
        <w:rPr>
          <w:rFonts w:asciiTheme="minorEastAsia" w:eastAsiaTheme="minorEastAsia" w:hAnsiTheme="minorEastAsia" w:cstheme="major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1649A" wp14:editId="617D3D96">
                <wp:simplePos x="0" y="0"/>
                <wp:positionH relativeFrom="page">
                  <wp:posOffset>0</wp:posOffset>
                </wp:positionH>
                <wp:positionV relativeFrom="page">
                  <wp:posOffset>392430</wp:posOffset>
                </wp:positionV>
                <wp:extent cx="290830" cy="1113155"/>
                <wp:effectExtent l="0" t="0" r="1270" b="571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1131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69B5F" id="Rectangle 12" o:spid="_x0000_s1026" style="position:absolute;left:0;text-align:left;margin-left:0;margin-top:30.9pt;width:22.9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A973F7" w:rsidRPr="00AA5623">
        <w:rPr>
          <w:rFonts w:asciiTheme="minorEastAsia" w:eastAsiaTheme="minorEastAsia" w:hAnsiTheme="minorEastAsia" w:cstheme="major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B094F0" wp14:editId="3D4E6ED0">
                <wp:simplePos x="0" y="0"/>
                <wp:positionH relativeFrom="page">
                  <wp:posOffset>151765</wp:posOffset>
                </wp:positionH>
                <wp:positionV relativeFrom="page">
                  <wp:posOffset>488315</wp:posOffset>
                </wp:positionV>
                <wp:extent cx="144780" cy="921385"/>
                <wp:effectExtent l="0" t="5715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BF28F" w14:textId="77777777" w:rsidR="00BF6145" w:rsidRDefault="00BF6145" w:rsidP="00A973F7">
                            <w:pPr>
                              <w:spacing w:before="16"/>
                              <w:ind w:left="2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幼圆" w:eastAsia="幼圆" w:hAnsi="宋体" w:cs="宋体" w:hint="eastAsia"/>
                                <w:color w:val="FFFFFF"/>
                                <w:w w:val="110"/>
                                <w:sz w:val="16"/>
                              </w:rPr>
                              <w:t>成人心脏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94F0" id="Text Box 13" o:spid="_x0000_s1027" type="#_x0000_t202" style="position:absolute;margin-left:11.95pt;margin-top:38.45pt;width:11.4pt;height:72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" filled="f" stroked="f">
                <v:textbox style="layout-flow:vertical;mso-layout-flow-alt:bottom-to-top" inset="0,0,0,0">
                  <w:txbxContent>
                    <w:p w14:paraId="2F0BF28F" w14:textId="77777777" w:rsidR="00BF6145" w:rsidRDefault="00BF6145" w:rsidP="00A973F7">
                      <w:pPr>
                        <w:spacing w:before="16"/>
                        <w:ind w:left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rFonts w:ascii="幼圆" w:eastAsia="幼圆" w:hAnsi="宋体" w:cs="宋体" w:hint="eastAsia"/>
                          <w:color w:val="FFFFFF"/>
                          <w:w w:val="110"/>
                          <w:sz w:val="16"/>
                        </w:rPr>
                        <w:t>成人心脏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血管有关的并发症。在TAVI装置中使用MANTA时，这种并发症的风险在8.0％和9.3％之间变化。与TAVI患者相比，MIMVS患者通常较年轻，</w:t>
      </w:r>
      <w:proofErr w:type="spellStart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EuroSCORE</w:t>
      </w:r>
      <w:proofErr w:type="spellEnd"/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 xml:space="preserve"> II</w:t>
      </w:r>
      <w:r w:rsidR="00AB36AF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较低且外周动脉疾病的患病率较低。这可以解释我们队列中与插管径路部位相关的血管并发症</w:t>
      </w:r>
      <w:r w:rsidR="00A973F7" w:rsidRPr="00AA5623">
        <w:rPr>
          <w:rFonts w:asciiTheme="minorEastAsia" w:eastAsiaTheme="minorEastAsia" w:hAnsiTheme="minorEastAsia" w:cstheme="majorEastAsia" w:hint="eastAsia"/>
          <w:bCs/>
          <w:sz w:val="24"/>
          <w:szCs w:val="24"/>
          <w:lang w:eastAsia="zh-CN"/>
        </w:rPr>
        <w:t>发生率相对较低，这表明MIMVS患者适合经皮股动脉闭合。</w:t>
      </w:r>
    </w:p>
    <w:p w14:paraId="57D4EC99" w14:textId="77777777" w:rsidR="00A973F7" w:rsidRPr="00AA5623" w:rsidRDefault="00A973F7" w:rsidP="00AA5623">
      <w:pPr>
        <w:spacing w:line="360" w:lineRule="auto"/>
        <w:ind w:right="880"/>
        <w:jc w:val="center"/>
        <w:rPr>
          <w:rFonts w:asciiTheme="minorEastAsia" w:eastAsiaTheme="minorEastAsia" w:hAnsiTheme="minorEastAsia" w:cstheme="majorEastAsia"/>
          <w:bCs/>
          <w:w w:val="115"/>
          <w:sz w:val="24"/>
          <w:szCs w:val="24"/>
          <w:lang w:eastAsia="zh-CN"/>
        </w:rPr>
      </w:pPr>
    </w:p>
    <w:sectPr w:rsidR="00A973F7" w:rsidRPr="00AA5623" w:rsidSect="00A973F7">
      <w:pgSz w:w="11900" w:h="16840"/>
      <w:pgMar w:top="1440" w:right="84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3F7"/>
    <w:rsid w:val="000803BD"/>
    <w:rsid w:val="000A5727"/>
    <w:rsid w:val="00202E88"/>
    <w:rsid w:val="00206986"/>
    <w:rsid w:val="00237795"/>
    <w:rsid w:val="00250287"/>
    <w:rsid w:val="00284177"/>
    <w:rsid w:val="002965A6"/>
    <w:rsid w:val="003676AE"/>
    <w:rsid w:val="004D4B2A"/>
    <w:rsid w:val="009B07D3"/>
    <w:rsid w:val="00A36736"/>
    <w:rsid w:val="00A973F7"/>
    <w:rsid w:val="00AA5623"/>
    <w:rsid w:val="00AB36AF"/>
    <w:rsid w:val="00AE5223"/>
    <w:rsid w:val="00BF6145"/>
    <w:rsid w:val="00C63841"/>
    <w:rsid w:val="00C76A3C"/>
    <w:rsid w:val="00D56DCF"/>
    <w:rsid w:val="00EB0527"/>
    <w:rsid w:val="00F8785A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3732F"/>
  <w14:defaultImageDpi w14:val="300"/>
  <w15:docId w15:val="{0C8B4D12-668C-4B10-B957-B78C0AD6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73F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1"/>
    <w:qFormat/>
    <w:rsid w:val="00A973F7"/>
    <w:pPr>
      <w:ind w:left="437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A973F7"/>
    <w:rPr>
      <w:rFonts w:ascii="Times New Roman" w:eastAsia="Times New Roman" w:hAnsi="Times New Roman" w:cs="Times New Roman"/>
      <w:kern w:val="0"/>
      <w:sz w:val="20"/>
      <w:szCs w:val="20"/>
      <w:lang w:eastAsia="en-US" w:bidi="en-US"/>
    </w:rPr>
  </w:style>
  <w:style w:type="paragraph" w:styleId="a3">
    <w:name w:val="Body Text"/>
    <w:basedOn w:val="a"/>
    <w:link w:val="a4"/>
    <w:uiPriority w:val="1"/>
    <w:qFormat/>
    <w:rsid w:val="00A973F7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A973F7"/>
    <w:rPr>
      <w:rFonts w:ascii="Times New Roman" w:eastAsia="Times New Roman" w:hAnsi="Times New Roman" w:cs="Times New Roman"/>
      <w:kern w:val="0"/>
      <w:sz w:val="18"/>
      <w:szCs w:val="18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A973F7"/>
    <w:rPr>
      <w:rFonts w:ascii="Heiti SC Light" w:eastAsia="Heiti SC Light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73F7"/>
    <w:rPr>
      <w:rFonts w:ascii="Heiti SC Light" w:eastAsia="Heiti SC Light" w:hAnsi="Times New Roman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458</Words>
  <Characters>2612</Characters>
  <Application>Microsoft Office Word</Application>
  <DocSecurity>0</DocSecurity>
  <Lines>21</Lines>
  <Paragraphs>6</Paragraphs>
  <ScaleCrop>false</ScaleCrop>
  <Company>home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SHEN</dc:creator>
  <cp:keywords/>
  <dc:description/>
  <cp:lastModifiedBy>周 荣华</cp:lastModifiedBy>
  <cp:revision>8</cp:revision>
  <dcterms:created xsi:type="dcterms:W3CDTF">2020-07-23T08:01:00Z</dcterms:created>
  <dcterms:modified xsi:type="dcterms:W3CDTF">2020-07-24T13:21:00Z</dcterms:modified>
</cp:coreProperties>
</file>