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297610" w14:textId="7B883399" w:rsidR="00F5639C" w:rsidRPr="005F6373" w:rsidRDefault="00A05870" w:rsidP="005F6373">
      <w:pPr>
        <w:spacing w:line="360" w:lineRule="auto"/>
        <w:jc w:val="center"/>
        <w:rPr>
          <w:rFonts w:ascii="Times New Roman" w:eastAsia="宋体" w:hAnsi="Times New Roman" w:cs="Times New Roman"/>
          <w:b/>
          <w:sz w:val="30"/>
          <w:szCs w:val="30"/>
        </w:rPr>
      </w:pPr>
      <w:r w:rsidRPr="005F6373">
        <w:rPr>
          <w:rFonts w:ascii="Times New Roman" w:eastAsia="宋体" w:hAnsi="Times New Roman" w:cs="Times New Roman"/>
          <w:b/>
          <w:sz w:val="30"/>
          <w:szCs w:val="30"/>
        </w:rPr>
        <w:t>成人</w:t>
      </w:r>
      <w:r w:rsidRPr="005F6373">
        <w:rPr>
          <w:rFonts w:ascii="Times New Roman" w:eastAsia="宋体" w:hAnsi="Times New Roman" w:cs="Times New Roman"/>
          <w:b/>
          <w:sz w:val="30"/>
          <w:szCs w:val="30"/>
        </w:rPr>
        <w:t>ECMO</w:t>
      </w:r>
      <w:r w:rsidRPr="005F6373">
        <w:rPr>
          <w:rFonts w:ascii="Times New Roman" w:eastAsia="宋体" w:hAnsi="Times New Roman" w:cs="Times New Roman"/>
          <w:b/>
          <w:sz w:val="30"/>
          <w:szCs w:val="30"/>
        </w:rPr>
        <w:t>颅内出血</w:t>
      </w:r>
    </w:p>
    <w:p w14:paraId="59A2FC88" w14:textId="77777777" w:rsidR="00F5639C" w:rsidRPr="009A31BA" w:rsidRDefault="00F5639C" w:rsidP="009A31BA">
      <w:pPr>
        <w:spacing w:line="360" w:lineRule="auto"/>
        <w:jc w:val="center"/>
        <w:rPr>
          <w:rFonts w:ascii="Times New Roman" w:eastAsia="宋体" w:hAnsi="Times New Roman" w:cs="Times New Roman"/>
          <w:b/>
          <w:sz w:val="24"/>
        </w:rPr>
      </w:pPr>
    </w:p>
    <w:p w14:paraId="5CBEDA80" w14:textId="77777777" w:rsidR="00A05870" w:rsidRDefault="00F5639C" w:rsidP="009A31BA">
      <w:pPr>
        <w:spacing w:line="360" w:lineRule="auto"/>
        <w:rPr>
          <w:rFonts w:ascii="Times New Roman" w:eastAsia="宋体" w:hAnsi="Times New Roman" w:cs="Times New Roman"/>
          <w:sz w:val="24"/>
        </w:rPr>
      </w:pPr>
      <w:r>
        <w:rPr>
          <w:rFonts w:ascii="Times New Roman" w:eastAsia="宋体" w:hAnsi="Times New Roman" w:cs="Times New Roman" w:hint="eastAsia"/>
          <w:noProof/>
          <w:sz w:val="24"/>
        </w:rPr>
        <w:drawing>
          <wp:inline distT="0" distB="0" distL="0" distR="0" wp14:anchorId="298BCF4A" wp14:editId="739C0406">
            <wp:extent cx="1296000" cy="187200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8440-邓丽 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6000" cy="187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D14C53" w14:textId="77777777" w:rsidR="00F5639C" w:rsidRDefault="00F5639C" w:rsidP="009A31BA">
      <w:pPr>
        <w:spacing w:line="360" w:lineRule="auto"/>
        <w:rPr>
          <w:rFonts w:ascii="Times New Roman" w:eastAsia="宋体" w:hAnsi="Times New Roman" w:cs="Times New Roman"/>
          <w:sz w:val="24"/>
        </w:rPr>
      </w:pPr>
      <w:r>
        <w:rPr>
          <w:rFonts w:ascii="Times New Roman" w:eastAsia="宋体" w:hAnsi="Times New Roman" w:cs="Times New Roman" w:hint="eastAsia"/>
          <w:sz w:val="24"/>
        </w:rPr>
        <w:t>翻译：邓丽</w:t>
      </w:r>
      <w:r>
        <w:rPr>
          <w:rFonts w:ascii="Times New Roman" w:eastAsia="宋体" w:hAnsi="Times New Roman" w:cs="Times New Roman" w:hint="eastAsia"/>
          <w:sz w:val="24"/>
        </w:rPr>
        <w:t xml:space="preserve"> </w:t>
      </w:r>
      <w:r>
        <w:rPr>
          <w:rFonts w:ascii="Times New Roman" w:eastAsia="宋体" w:hAnsi="Times New Roman" w:cs="Times New Roman" w:hint="eastAsia"/>
          <w:sz w:val="24"/>
        </w:rPr>
        <w:t>哈尔滨医科大学附属第一医院</w:t>
      </w:r>
    </w:p>
    <w:p w14:paraId="1869CE3E" w14:textId="3925D5CF" w:rsidR="00F5639C" w:rsidRDefault="00F5639C" w:rsidP="009A31BA">
      <w:pPr>
        <w:spacing w:line="360" w:lineRule="auto"/>
        <w:rPr>
          <w:rFonts w:ascii="Times New Roman" w:eastAsia="宋体" w:hAnsi="Times New Roman" w:cs="Times New Roman"/>
          <w:sz w:val="24"/>
        </w:rPr>
      </w:pPr>
      <w:r>
        <w:rPr>
          <w:rFonts w:ascii="Times New Roman" w:eastAsia="宋体" w:hAnsi="Times New Roman" w:cs="Times New Roman"/>
          <w:sz w:val="24"/>
        </w:rPr>
        <w:t>审校：</w:t>
      </w:r>
      <w:r w:rsidR="005F6373">
        <w:rPr>
          <w:rFonts w:ascii="Times New Roman" w:eastAsia="宋体" w:hAnsi="Times New Roman" w:cs="Times New Roman" w:hint="eastAsia"/>
          <w:sz w:val="24"/>
        </w:rPr>
        <w:t>周荣华</w:t>
      </w:r>
      <w:r w:rsidR="005F6373">
        <w:rPr>
          <w:rFonts w:ascii="Times New Roman" w:eastAsia="宋体" w:hAnsi="Times New Roman" w:cs="Times New Roman" w:hint="eastAsia"/>
          <w:sz w:val="24"/>
        </w:rPr>
        <w:t xml:space="preserve"> </w:t>
      </w:r>
      <w:r w:rsidR="005F6373">
        <w:rPr>
          <w:rFonts w:ascii="Times New Roman" w:eastAsia="宋体" w:hAnsi="Times New Roman" w:cs="Times New Roman" w:hint="eastAsia"/>
          <w:sz w:val="24"/>
        </w:rPr>
        <w:t>四川大学华西医院</w:t>
      </w:r>
    </w:p>
    <w:p w14:paraId="2E19DBF1" w14:textId="77777777" w:rsidR="00F5639C" w:rsidRPr="00CA750D" w:rsidRDefault="00F5639C" w:rsidP="009A31BA">
      <w:pPr>
        <w:spacing w:line="360" w:lineRule="auto"/>
        <w:rPr>
          <w:rFonts w:ascii="Times New Roman" w:eastAsia="宋体" w:hAnsi="Times New Roman" w:cs="Times New Roman"/>
          <w:sz w:val="28"/>
          <w:szCs w:val="28"/>
        </w:rPr>
      </w:pPr>
    </w:p>
    <w:p w14:paraId="311787F7" w14:textId="77777777" w:rsidR="00FC57DE" w:rsidRPr="00CA750D" w:rsidRDefault="00FC57DE" w:rsidP="009A31BA">
      <w:pPr>
        <w:spacing w:line="360" w:lineRule="auto"/>
        <w:rPr>
          <w:rFonts w:ascii="Times New Roman" w:eastAsia="宋体" w:hAnsi="Times New Roman" w:cs="Times New Roman"/>
          <w:b/>
          <w:color w:val="000000" w:themeColor="text1"/>
          <w:sz w:val="28"/>
          <w:szCs w:val="28"/>
        </w:rPr>
      </w:pPr>
      <w:r w:rsidRPr="00CA750D"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t>摘要</w:t>
      </w:r>
    </w:p>
    <w:p w14:paraId="6EC7D948" w14:textId="37014C58" w:rsidR="00FE6077" w:rsidRPr="009A31BA" w:rsidRDefault="00243385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b/>
          <w:color w:val="000000" w:themeColor="text1"/>
          <w:sz w:val="24"/>
        </w:rPr>
        <w:t>背景</w:t>
      </w:r>
      <w:r w:rsidR="00FC57DE" w:rsidRPr="009A31BA">
        <w:rPr>
          <w:rFonts w:ascii="Times New Roman" w:eastAsia="宋体" w:hAnsi="Times New Roman" w:cs="Times New Roman"/>
          <w:b/>
          <w:color w:val="000000" w:themeColor="text1"/>
          <w:sz w:val="24"/>
        </w:rPr>
        <w:t>：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过去十年来，体外膜氧合（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）的使用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日益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激增。</w:t>
      </w:r>
      <w:r w:rsidR="009C2C4E" w:rsidRPr="009A31BA">
        <w:rPr>
          <w:rFonts w:ascii="Times New Roman" w:eastAsia="宋体" w:hAnsi="Times New Roman" w:cs="Times New Roman"/>
          <w:color w:val="000000" w:themeColor="text1"/>
          <w:sz w:val="24"/>
        </w:rPr>
        <w:t>由于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具有</w:t>
      </w:r>
      <w:r w:rsidR="009C2C4E" w:rsidRPr="009A31BA">
        <w:rPr>
          <w:rFonts w:ascii="Times New Roman" w:eastAsia="宋体" w:hAnsi="Times New Roman" w:cs="Times New Roman"/>
          <w:color w:val="000000" w:themeColor="text1"/>
          <w:sz w:val="24"/>
        </w:rPr>
        <w:t>高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侵入性，</w:t>
      </w:r>
      <w:r w:rsidR="009C2C4E" w:rsidRPr="009A31BA">
        <w:rPr>
          <w:rFonts w:ascii="Times New Roman" w:eastAsia="宋体" w:hAnsi="Times New Roman" w:cs="Times New Roman"/>
          <w:color w:val="000000" w:themeColor="text1"/>
          <w:sz w:val="24"/>
        </w:rPr>
        <w:t>因此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伴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随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大量并发症，</w:t>
      </w:r>
      <w:r w:rsidR="009C2C4E" w:rsidRPr="009A31BA">
        <w:rPr>
          <w:rFonts w:ascii="Times New Roman" w:eastAsia="宋体" w:hAnsi="Times New Roman" w:cs="Times New Roman"/>
          <w:color w:val="000000" w:themeColor="text1"/>
          <w:sz w:val="24"/>
        </w:rPr>
        <w:t>例如</w:t>
      </w:r>
      <w:r w:rsidR="005F6373">
        <w:rPr>
          <w:rFonts w:ascii="Times New Roman" w:eastAsia="宋体" w:hAnsi="Times New Roman" w:cs="Times New Roman" w:hint="eastAsia"/>
          <w:color w:val="000000" w:themeColor="text1"/>
          <w:sz w:val="24"/>
        </w:rPr>
        <w:t>心包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填塞</w:t>
      </w:r>
      <w:r w:rsidR="005F6373">
        <w:rPr>
          <w:rFonts w:ascii="Times New Roman" w:eastAsia="宋体" w:hAnsi="Times New Roman" w:cs="Times New Roman" w:hint="eastAsia"/>
          <w:color w:val="000000" w:themeColor="text1"/>
          <w:sz w:val="24"/>
        </w:rPr>
        <w:t>、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感染</w:t>
      </w:r>
      <w:r w:rsidR="005F6373">
        <w:rPr>
          <w:rFonts w:ascii="Times New Roman" w:eastAsia="宋体" w:hAnsi="Times New Roman" w:cs="Times New Roman" w:hint="eastAsia"/>
          <w:color w:val="000000" w:themeColor="text1"/>
          <w:sz w:val="24"/>
        </w:rPr>
        <w:t>、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血栓形成</w:t>
      </w:r>
      <w:r w:rsidR="005F6373">
        <w:rPr>
          <w:rFonts w:ascii="Times New Roman" w:eastAsia="宋体" w:hAnsi="Times New Roman" w:cs="Times New Roman" w:hint="eastAsia"/>
          <w:color w:val="000000" w:themeColor="text1"/>
          <w:sz w:val="24"/>
        </w:rPr>
        <w:t>、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气体栓塞和出血。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最严重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的并发症是颅内出血（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）。在本文中，我们回顾了有关成人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中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 xml:space="preserve"> 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的发生率</w:t>
      </w:r>
      <w:r w:rsidR="005F6373">
        <w:rPr>
          <w:rFonts w:ascii="Times New Roman" w:eastAsia="宋体" w:hAnsi="Times New Roman" w:cs="Times New Roman" w:hint="eastAsia"/>
          <w:color w:val="000000" w:themeColor="text1"/>
          <w:sz w:val="24"/>
        </w:rPr>
        <w:t>、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诊断</w:t>
      </w:r>
      <w:r w:rsidR="005F6373">
        <w:rPr>
          <w:rFonts w:ascii="Times New Roman" w:eastAsia="宋体" w:hAnsi="Times New Roman" w:cs="Times New Roman" w:hint="eastAsia"/>
          <w:color w:val="000000" w:themeColor="text1"/>
          <w:sz w:val="24"/>
        </w:rPr>
        <w:t>、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危险因素</w:t>
      </w:r>
      <w:r w:rsidR="005F6373">
        <w:rPr>
          <w:rFonts w:ascii="Times New Roman" w:eastAsia="宋体" w:hAnsi="Times New Roman" w:cs="Times New Roman" w:hint="eastAsia"/>
          <w:color w:val="000000" w:themeColor="text1"/>
          <w:sz w:val="24"/>
        </w:rPr>
        <w:t>、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病理生理</w:t>
      </w:r>
      <w:r w:rsidR="005F6373">
        <w:rPr>
          <w:rFonts w:ascii="Times New Roman" w:eastAsia="宋体" w:hAnsi="Times New Roman" w:cs="Times New Roman" w:hint="eastAsia"/>
          <w:color w:val="000000" w:themeColor="text1"/>
          <w:sz w:val="24"/>
        </w:rPr>
        <w:t>、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预后</w:t>
      </w:r>
      <w:r w:rsidR="005F6373">
        <w:rPr>
          <w:rFonts w:ascii="Times New Roman" w:eastAsia="宋体" w:hAnsi="Times New Roman" w:cs="Times New Roman" w:hint="eastAsia"/>
          <w:color w:val="000000" w:themeColor="text1"/>
          <w:sz w:val="24"/>
        </w:rPr>
        <w:t>、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预</w:t>
      </w:r>
      <w:r w:rsidR="003E7792">
        <w:rPr>
          <w:rFonts w:ascii="Times New Roman" w:eastAsia="宋体" w:hAnsi="Times New Roman" w:cs="Times New Roman" w:hint="eastAsia"/>
          <w:color w:val="000000" w:themeColor="text1"/>
          <w:sz w:val="24"/>
        </w:rPr>
        <w:t>、</w:t>
      </w:r>
      <w:r w:rsidR="00FC57DE" w:rsidRPr="009A31BA">
        <w:rPr>
          <w:rFonts w:ascii="Times New Roman" w:eastAsia="宋体" w:hAnsi="Times New Roman" w:cs="Times New Roman"/>
          <w:color w:val="000000" w:themeColor="text1"/>
          <w:sz w:val="24"/>
        </w:rPr>
        <w:t>防和管理的文献。</w:t>
      </w:r>
    </w:p>
    <w:p w14:paraId="03E79519" w14:textId="47DAAE33" w:rsidR="00FC57DE" w:rsidRPr="009A31BA" w:rsidRDefault="00FC57DE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  <w:r w:rsidRPr="00412845">
        <w:rPr>
          <w:rFonts w:ascii="Times New Roman" w:eastAsia="宋体" w:hAnsi="Times New Roman" w:cs="Times New Roman"/>
          <w:b/>
          <w:color w:val="000000" w:themeColor="text1"/>
          <w:sz w:val="24"/>
        </w:rPr>
        <w:t>主要发现：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文献报告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0A5A7E" w:rsidRPr="009A31BA">
        <w:rPr>
          <w:rFonts w:ascii="Times New Roman" w:eastAsia="宋体" w:hAnsi="Times New Roman" w:cs="Times New Roman"/>
          <w:color w:val="000000" w:themeColor="text1"/>
          <w:sz w:val="24"/>
        </w:rPr>
        <w:t>的发生率高，预后较差。主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要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危险因素包括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前的心脏骤停，败血症，流行性感冒，肾衰竭，肾脏替代疗法，溶血和血小板减少症。最佳的抗凝策略仍不确定。由于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患者的血小板功能障碍和耗竭在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412845">
        <w:rPr>
          <w:rFonts w:ascii="Times New Roman" w:eastAsia="宋体" w:hAnsi="Times New Roman" w:cs="Times New Roman"/>
          <w:color w:val="000000" w:themeColor="text1"/>
          <w:sz w:val="24"/>
        </w:rPr>
        <w:t>的发病机制中似乎起着重要作用，因此建议采用</w:t>
      </w:r>
      <w:r w:rsidR="00C60458">
        <w:rPr>
          <w:rFonts w:ascii="Times New Roman" w:eastAsia="宋体" w:hAnsi="Times New Roman" w:cs="Times New Roman" w:hint="eastAsia"/>
          <w:color w:val="000000" w:themeColor="text1"/>
          <w:sz w:val="24"/>
        </w:rPr>
        <w:t>开放性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血小板输注策略。</w:t>
      </w:r>
      <w:r w:rsidR="00C60458">
        <w:rPr>
          <w:rFonts w:ascii="Times New Roman" w:eastAsia="宋体" w:hAnsi="Times New Roman" w:cs="Times New Roman" w:hint="eastAsia"/>
          <w:color w:val="000000" w:themeColor="text1"/>
          <w:sz w:val="24"/>
        </w:rPr>
        <w:t>及时的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脑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CT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诊断非常重要，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如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尽早实施，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可早期采取</w:t>
      </w:r>
      <w:r w:rsidR="000A0F23">
        <w:rPr>
          <w:rFonts w:ascii="Times New Roman" w:eastAsia="宋体" w:hAnsi="Times New Roman" w:cs="Times New Roman"/>
          <w:color w:val="000000" w:themeColor="text1"/>
          <w:sz w:val="24"/>
        </w:rPr>
        <w:t>干预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措施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限制血肿扩大和</w:t>
      </w:r>
      <w:proofErr w:type="gramStart"/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继发</w:t>
      </w:r>
      <w:proofErr w:type="gramEnd"/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性神经系统损伤。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患者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可以安全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转运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到放射科。在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VV-ECMO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患者中，结合入院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CT</w:t>
      </w:r>
      <w:r w:rsidR="00E13751" w:rsidRPr="009A31BA">
        <w:rPr>
          <w:rFonts w:ascii="Times New Roman" w:eastAsia="宋体" w:hAnsi="Times New Roman" w:cs="Times New Roman"/>
          <w:color w:val="000000" w:themeColor="text1"/>
          <w:sz w:val="24"/>
        </w:rPr>
        <w:t>筛查</w:t>
      </w:r>
      <w:r w:rsidR="000A5A7E" w:rsidRPr="009A31BA">
        <w:rPr>
          <w:rFonts w:ascii="Times New Roman" w:eastAsia="宋体" w:hAnsi="Times New Roman" w:cs="Times New Roman"/>
          <w:color w:val="000000" w:themeColor="text1"/>
          <w:sz w:val="24"/>
        </w:rPr>
        <w:t>和无肝素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体外支持的策略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证明对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VV-ECMO</w:t>
      </w:r>
      <w:r w:rsidR="000A5A7E" w:rsidRPr="009A31BA">
        <w:rPr>
          <w:rFonts w:ascii="Times New Roman" w:eastAsia="宋体" w:hAnsi="Times New Roman" w:cs="Times New Roman"/>
          <w:color w:val="000000" w:themeColor="text1"/>
          <w:sz w:val="24"/>
        </w:rPr>
        <w:t>患者是安全的，并且与</w:t>
      </w:r>
      <w:r w:rsidR="00A91CC6" w:rsidRPr="009A31BA">
        <w:rPr>
          <w:rFonts w:ascii="Times New Roman" w:eastAsia="宋体" w:hAnsi="Times New Roman" w:cs="Times New Roman"/>
          <w:color w:val="000000" w:themeColor="text1"/>
          <w:sz w:val="24"/>
        </w:rPr>
        <w:t>相似的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队列</w:t>
      </w:r>
      <w:r w:rsidR="00584D0E" w:rsidRPr="009A31BA">
        <w:rPr>
          <w:rFonts w:ascii="Times New Roman" w:eastAsia="宋体" w:hAnsi="Times New Roman" w:cs="Times New Roman"/>
          <w:color w:val="000000" w:themeColor="text1"/>
          <w:sz w:val="24"/>
        </w:rPr>
        <w:t>研究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相比，其预后更好。</w:t>
      </w:r>
    </w:p>
    <w:p w14:paraId="664F8FF6" w14:textId="77777777" w:rsidR="00FC57DE" w:rsidRDefault="00FC57DE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b/>
          <w:color w:val="000000" w:themeColor="text1"/>
          <w:sz w:val="24"/>
        </w:rPr>
        <w:t>结论：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尽管技术上取得了重大进步，并且在成人中获得了</w:t>
      </w:r>
      <w:r w:rsidR="00A91CC6" w:rsidRPr="009A31BA">
        <w:rPr>
          <w:rFonts w:ascii="Times New Roman" w:eastAsia="宋体" w:hAnsi="Times New Roman" w:cs="Times New Roman"/>
          <w:color w:val="000000" w:themeColor="text1"/>
          <w:sz w:val="24"/>
        </w:rPr>
        <w:t>很多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经验，但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仍然与</w:t>
      </w:r>
      <w:r w:rsidR="00E13751" w:rsidRPr="009A31BA">
        <w:rPr>
          <w:rFonts w:ascii="Times New Roman" w:eastAsia="宋体" w:hAnsi="Times New Roman" w:cs="Times New Roman"/>
          <w:color w:val="000000" w:themeColor="text1"/>
          <w:sz w:val="24"/>
        </w:rPr>
        <w:t>高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的发生有关。我们对这种疾病的</w:t>
      </w:r>
      <w:r w:rsidR="00E13751" w:rsidRPr="009A31BA">
        <w:rPr>
          <w:rFonts w:ascii="Times New Roman" w:eastAsia="宋体" w:hAnsi="Times New Roman" w:cs="Times New Roman"/>
          <w:color w:val="000000" w:themeColor="text1"/>
          <w:sz w:val="24"/>
        </w:rPr>
        <w:t>理解仍然存在很大差距</w:t>
      </w:r>
      <w:r w:rsidR="00A91CC6" w:rsidRPr="009A31BA">
        <w:rPr>
          <w:rFonts w:ascii="Times New Roman" w:eastAsia="宋体" w:hAnsi="Times New Roman" w:cs="Times New Roman"/>
          <w:color w:val="000000" w:themeColor="text1"/>
          <w:sz w:val="24"/>
        </w:rPr>
        <w:t>。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E13751" w:rsidRPr="009A31BA">
        <w:rPr>
          <w:rFonts w:ascii="Times New Roman" w:eastAsia="宋体" w:hAnsi="Times New Roman" w:cs="Times New Roman"/>
          <w:color w:val="000000" w:themeColor="text1"/>
          <w:sz w:val="24"/>
        </w:rPr>
        <w:t>风险最小化</w:t>
      </w:r>
      <w:r w:rsidR="009A31BA">
        <w:rPr>
          <w:rFonts w:ascii="Times New Roman" w:eastAsia="宋体" w:hAnsi="Times New Roman" w:cs="Times New Roman"/>
          <w:color w:val="000000" w:themeColor="text1"/>
          <w:sz w:val="24"/>
        </w:rPr>
        <w:t>、</w:t>
      </w:r>
      <w:r w:rsidR="00E13751" w:rsidRPr="009A31BA">
        <w:rPr>
          <w:rFonts w:ascii="Times New Roman" w:eastAsia="宋体" w:hAnsi="Times New Roman" w:cs="Times New Roman"/>
          <w:color w:val="000000" w:themeColor="text1"/>
          <w:sz w:val="24"/>
        </w:rPr>
        <w:t>如何</w:t>
      </w:r>
      <w:r w:rsidR="00A91CC6" w:rsidRPr="009A31BA">
        <w:rPr>
          <w:rFonts w:ascii="Times New Roman" w:eastAsia="宋体" w:hAnsi="Times New Roman" w:cs="Times New Roman"/>
          <w:color w:val="000000" w:themeColor="text1"/>
          <w:sz w:val="24"/>
        </w:rPr>
        <w:t>改善预后的最佳管理策略仍是我们要努力的方向。</w:t>
      </w:r>
    </w:p>
    <w:p w14:paraId="1552ACD5" w14:textId="77777777" w:rsidR="009A31BA" w:rsidRPr="009A31BA" w:rsidRDefault="009A31BA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3590CBA9" w14:textId="2B59B963" w:rsidR="00A05870" w:rsidRPr="009A31BA" w:rsidRDefault="00FC57DE" w:rsidP="009A31BA">
      <w:pPr>
        <w:spacing w:line="360" w:lineRule="auto"/>
        <w:rPr>
          <w:rFonts w:ascii="Times New Roman" w:eastAsia="宋体" w:hAnsi="Times New Roman" w:cs="Times New Roman"/>
          <w:b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b/>
          <w:color w:val="000000" w:themeColor="text1"/>
          <w:sz w:val="24"/>
        </w:rPr>
        <w:lastRenderedPageBreak/>
        <w:t>关键词</w:t>
      </w:r>
      <w:r w:rsidR="00C60458">
        <w:rPr>
          <w:rFonts w:ascii="Times New Roman" w:eastAsia="宋体" w:hAnsi="Times New Roman" w:cs="Times New Roman" w:hint="eastAsia"/>
          <w:b/>
          <w:color w:val="000000" w:themeColor="text1"/>
          <w:sz w:val="24"/>
        </w:rPr>
        <w:t>：</w:t>
      </w:r>
      <w:r w:rsidRPr="009A31BA">
        <w:rPr>
          <w:rFonts w:ascii="Times New Roman" w:eastAsia="宋体" w:hAnsi="Times New Roman" w:cs="Times New Roman"/>
          <w:b/>
          <w:color w:val="000000" w:themeColor="text1"/>
          <w:sz w:val="24"/>
        </w:rPr>
        <w:t>体外膜氧合</w:t>
      </w:r>
      <w:r w:rsidR="00BB4331" w:rsidRPr="009A31BA">
        <w:rPr>
          <w:rFonts w:ascii="Times New Roman" w:eastAsia="宋体" w:hAnsi="Times New Roman" w:cs="Times New Roman"/>
          <w:b/>
          <w:color w:val="000000" w:themeColor="text1"/>
          <w:sz w:val="24"/>
        </w:rPr>
        <w:t>；</w:t>
      </w:r>
      <w:r w:rsidRPr="009A31BA">
        <w:rPr>
          <w:rFonts w:ascii="Times New Roman" w:eastAsia="宋体" w:hAnsi="Times New Roman" w:cs="Times New Roman"/>
          <w:b/>
          <w:color w:val="000000" w:themeColor="text1"/>
          <w:sz w:val="24"/>
        </w:rPr>
        <w:t>颅内出血</w:t>
      </w:r>
    </w:p>
    <w:p w14:paraId="0C6A08E3" w14:textId="77777777" w:rsidR="00AF4228" w:rsidRPr="009A31BA" w:rsidRDefault="00AF4228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5AE399CC" w14:textId="2C29E328" w:rsidR="00E06F1B" w:rsidRPr="00CA750D" w:rsidRDefault="00C60458" w:rsidP="009A31BA">
      <w:pPr>
        <w:spacing w:line="360" w:lineRule="auto"/>
        <w:rPr>
          <w:rFonts w:ascii="Times New Roman" w:eastAsia="宋体" w:hAnsi="Times New Roman" w:cs="Times New Roman"/>
          <w:b/>
          <w:color w:val="000000" w:themeColor="text1"/>
          <w:sz w:val="28"/>
          <w:szCs w:val="28"/>
        </w:rPr>
      </w:pPr>
      <w:r w:rsidRPr="00CA750D"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t>前言</w:t>
      </w:r>
    </w:p>
    <w:p w14:paraId="688FFCD3" w14:textId="77777777" w:rsidR="00E06F1B" w:rsidRPr="009A31BA" w:rsidRDefault="00E06F1B" w:rsidP="00326887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过去的十年中，体外生命支持（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ECLS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）的使用激增。</w:t>
      </w:r>
      <w:r w:rsidR="004C1086" w:rsidRPr="009A31BA">
        <w:rPr>
          <w:rFonts w:ascii="Times New Roman" w:eastAsia="宋体" w:hAnsi="Times New Roman" w:cs="Times New Roman"/>
          <w:color w:val="000000" w:themeColor="text1"/>
          <w:sz w:val="24"/>
        </w:rPr>
        <w:t>研究证实在成人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ARDS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患者中使用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VV-ECMO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可获得良好的结果：此外，观察性研究</w:t>
      </w:r>
      <w:r w:rsidR="00EF0AC1" w:rsidRPr="009A31BA">
        <w:rPr>
          <w:rFonts w:ascii="Times New Roman" w:eastAsia="宋体" w:hAnsi="Times New Roman" w:cs="Times New Roman"/>
          <w:color w:val="000000" w:themeColor="text1"/>
          <w:sz w:val="24"/>
        </w:rPr>
        <w:t>也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表明，在难治性心脏骤停（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ECPR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）和心源性休克的背景下使用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VA-ECMO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有潜在的好处。</w:t>
      </w:r>
    </w:p>
    <w:p w14:paraId="76E3230F" w14:textId="161730C4" w:rsidR="00E06F1B" w:rsidRPr="009A31BA" w:rsidRDefault="00E06F1B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但是，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ECLS</w:t>
      </w:r>
      <w:r w:rsidR="004C1086" w:rsidRPr="009A31BA">
        <w:rPr>
          <w:rFonts w:ascii="Times New Roman" w:eastAsia="宋体" w:hAnsi="Times New Roman" w:cs="Times New Roman"/>
          <w:color w:val="000000" w:themeColor="text1"/>
          <w:sz w:val="24"/>
        </w:rPr>
        <w:t>具有高侵袭性和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风险性，并发症包括</w:t>
      </w:r>
      <w:r w:rsidR="00C60458">
        <w:rPr>
          <w:rFonts w:ascii="Times New Roman" w:eastAsia="宋体" w:hAnsi="Times New Roman" w:cs="Times New Roman" w:hint="eastAsia"/>
          <w:color w:val="000000" w:themeColor="text1"/>
          <w:sz w:val="24"/>
        </w:rPr>
        <w:t>心包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填塞，感染，血栓形成，气体栓塞和出血。最可怕的并发症是颅内出血（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）。</w:t>
      </w:r>
      <w:r w:rsidR="009F35BA" w:rsidRPr="009A31BA">
        <w:rPr>
          <w:rFonts w:ascii="Times New Roman" w:eastAsia="宋体" w:hAnsi="Times New Roman" w:cs="Times New Roman"/>
          <w:color w:val="000000" w:themeColor="text1"/>
          <w:sz w:val="24"/>
        </w:rPr>
        <w:t>它是</w:t>
      </w:r>
      <w:r w:rsidR="004C1086" w:rsidRPr="009A31BA">
        <w:rPr>
          <w:rFonts w:ascii="Times New Roman" w:eastAsia="宋体" w:hAnsi="Times New Roman" w:cs="Times New Roman"/>
          <w:color w:val="000000" w:themeColor="text1"/>
          <w:sz w:val="24"/>
        </w:rPr>
        <w:t>VA-ECMO</w:t>
      </w:r>
      <w:r w:rsidR="009F35BA" w:rsidRPr="009A31BA">
        <w:rPr>
          <w:rFonts w:ascii="Times New Roman" w:eastAsia="宋体" w:hAnsi="Times New Roman" w:cs="Times New Roman"/>
          <w:color w:val="000000" w:themeColor="text1"/>
          <w:sz w:val="24"/>
        </w:rPr>
        <w:t>和</w:t>
      </w:r>
      <w:r w:rsidR="009F35BA" w:rsidRPr="009A31BA">
        <w:rPr>
          <w:rFonts w:ascii="Times New Roman" w:eastAsia="宋体" w:hAnsi="Times New Roman" w:cs="Times New Roman"/>
          <w:color w:val="000000" w:themeColor="text1"/>
          <w:sz w:val="24"/>
        </w:rPr>
        <w:t>VV-ECMO</w:t>
      </w:r>
      <w:r w:rsidR="009F35BA" w:rsidRPr="009A31BA">
        <w:rPr>
          <w:rFonts w:ascii="Times New Roman" w:eastAsia="宋体" w:hAnsi="Times New Roman" w:cs="Times New Roman"/>
          <w:color w:val="000000" w:themeColor="text1"/>
          <w:sz w:val="24"/>
        </w:rPr>
        <w:t>中某些人群的主要死亡原因。在本文中，我们回顾了成人</w:t>
      </w:r>
      <w:r w:rsidR="009F35BA" w:rsidRPr="009A31BA">
        <w:rPr>
          <w:rFonts w:ascii="Times New Roman" w:eastAsia="宋体" w:hAnsi="Times New Roman" w:cs="Times New Roman"/>
          <w:color w:val="000000" w:themeColor="text1"/>
          <w:sz w:val="24"/>
        </w:rPr>
        <w:t>ECLS</w:t>
      </w:r>
      <w:r w:rsidR="00EF0AC1" w:rsidRPr="009A31BA">
        <w:rPr>
          <w:rFonts w:ascii="Times New Roman" w:eastAsia="宋体" w:hAnsi="Times New Roman" w:cs="Times New Roman"/>
          <w:color w:val="000000" w:themeColor="text1"/>
          <w:sz w:val="24"/>
        </w:rPr>
        <w:t>并发</w:t>
      </w:r>
      <w:r w:rsidR="00EF0AC1"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EF0AC1" w:rsidRPr="009A31BA">
        <w:rPr>
          <w:rFonts w:ascii="Times New Roman" w:eastAsia="宋体" w:hAnsi="Times New Roman" w:cs="Times New Roman"/>
          <w:color w:val="000000" w:themeColor="text1"/>
          <w:sz w:val="24"/>
        </w:rPr>
        <w:t>的文献，包括</w:t>
      </w:r>
      <w:r w:rsidR="009F35BA" w:rsidRPr="009A31BA">
        <w:rPr>
          <w:rFonts w:ascii="Times New Roman" w:eastAsia="宋体" w:hAnsi="Times New Roman" w:cs="Times New Roman"/>
          <w:color w:val="000000" w:themeColor="text1"/>
          <w:sz w:val="24"/>
        </w:rPr>
        <w:t>发生率，诊断，危险因素，病理生理学，预后，预防和管理。</w:t>
      </w:r>
    </w:p>
    <w:p w14:paraId="02C4F2AF" w14:textId="77777777" w:rsidR="009F35BA" w:rsidRPr="009A31BA" w:rsidRDefault="009F35BA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589EDD58" w14:textId="77777777" w:rsidR="009F35BA" w:rsidRPr="00CA750D" w:rsidRDefault="009F35BA" w:rsidP="009A31BA">
      <w:pPr>
        <w:spacing w:line="360" w:lineRule="auto"/>
        <w:rPr>
          <w:rFonts w:ascii="Times New Roman" w:eastAsia="宋体" w:hAnsi="Times New Roman" w:cs="Times New Roman"/>
          <w:b/>
          <w:color w:val="000000" w:themeColor="text1"/>
          <w:sz w:val="28"/>
          <w:szCs w:val="28"/>
        </w:rPr>
      </w:pPr>
      <w:r w:rsidRPr="00CA750D"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t>发生率</w:t>
      </w:r>
    </w:p>
    <w:p w14:paraId="619E5488" w14:textId="77777777" w:rsidR="009F35BA" w:rsidRPr="009A31BA" w:rsidRDefault="009F35BA" w:rsidP="00326887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成年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="004C1086" w:rsidRPr="009A31BA">
        <w:rPr>
          <w:rFonts w:ascii="Times New Roman" w:eastAsia="宋体" w:hAnsi="Times New Roman" w:cs="Times New Roman"/>
          <w:color w:val="000000" w:themeColor="text1"/>
          <w:sz w:val="24"/>
        </w:rPr>
        <w:t>中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的发生率因研究而异。在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ELSO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注册表中，</w:t>
      </w:r>
      <w:r w:rsidR="004C1086" w:rsidRPr="009A31BA">
        <w:rPr>
          <w:rFonts w:ascii="Times New Roman" w:eastAsia="宋体" w:hAnsi="Times New Roman" w:cs="Times New Roman"/>
          <w:color w:val="000000" w:themeColor="text1"/>
          <w:sz w:val="24"/>
        </w:rPr>
        <w:t>成人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VA-ECMO</w:t>
      </w:r>
      <w:r w:rsidR="00763DF7" w:rsidRPr="009A31BA">
        <w:rPr>
          <w:rFonts w:ascii="Times New Roman" w:eastAsia="宋体" w:hAnsi="Times New Roman" w:cs="Times New Roman"/>
          <w:color w:val="000000" w:themeColor="text1"/>
          <w:sz w:val="24"/>
        </w:rPr>
        <w:t>中</w:t>
      </w:r>
      <w:r w:rsidR="00763DF7"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763DF7" w:rsidRPr="009A31BA">
        <w:rPr>
          <w:rFonts w:ascii="Times New Roman" w:eastAsia="宋体" w:hAnsi="Times New Roman" w:cs="Times New Roman"/>
          <w:color w:val="000000" w:themeColor="text1"/>
          <w:sz w:val="24"/>
        </w:rPr>
        <w:t>发生率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有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1.8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VV-ECMO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的成年人中有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3.6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％。同样，在对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23,951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名成年和儿科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VA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VV-ECMO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患者的美国行政数据库</w:t>
      </w:r>
      <w:r w:rsidR="00763DF7" w:rsidRPr="009A31BA">
        <w:rPr>
          <w:rFonts w:ascii="Times New Roman" w:eastAsia="宋体" w:hAnsi="Times New Roman" w:cs="Times New Roman"/>
          <w:color w:val="000000" w:themeColor="text1"/>
          <w:sz w:val="24"/>
        </w:rPr>
        <w:t>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进行的大型回顾性分析中，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的发生率为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3.6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％。最近</w:t>
      </w:r>
      <w:r w:rsidR="00763DF7" w:rsidRPr="009A31BA">
        <w:rPr>
          <w:rFonts w:ascii="Times New Roman" w:eastAsia="宋体" w:hAnsi="Times New Roman" w:cs="Times New Roman"/>
          <w:color w:val="000000" w:themeColor="text1"/>
          <w:sz w:val="24"/>
        </w:rPr>
        <w:t>，较多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</w:t>
      </w:r>
      <w:r w:rsidR="00763DF7" w:rsidRPr="009A31BA">
        <w:rPr>
          <w:rFonts w:ascii="Times New Roman" w:eastAsia="宋体" w:hAnsi="Times New Roman" w:cs="Times New Roman"/>
          <w:color w:val="000000" w:themeColor="text1"/>
          <w:sz w:val="24"/>
        </w:rPr>
        <w:t>脑成像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研究表明，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的发生率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5</w:t>
      </w:r>
      <w:r w:rsidR="00763DF7" w:rsidRPr="009A31BA">
        <w:rPr>
          <w:rFonts w:ascii="Times New Roman" w:eastAsia="宋体" w:hAnsi="Times New Roman" w:cs="Times New Roman"/>
          <w:color w:val="000000" w:themeColor="text1"/>
          <w:sz w:val="24"/>
        </w:rPr>
        <w:t>％</w:t>
      </w:r>
      <w:r w:rsidR="00763DF7" w:rsidRPr="009A31BA">
        <w:rPr>
          <w:rFonts w:ascii="Times New Roman" w:eastAsia="宋体" w:hAnsi="Times New Roman" w:cs="Times New Roman"/>
          <w:color w:val="000000" w:themeColor="text1"/>
          <w:sz w:val="24"/>
        </w:rPr>
        <w:t>~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21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</w:t>
      </w:r>
      <w:r w:rsidR="0004652B" w:rsidRPr="009A31BA">
        <w:rPr>
          <w:rFonts w:ascii="Times New Roman" w:eastAsia="宋体" w:hAnsi="Times New Roman" w:cs="Times New Roman"/>
          <w:color w:val="000000" w:themeColor="text1"/>
          <w:sz w:val="24"/>
        </w:rPr>
        <w:t>。这</w:t>
      </w:r>
      <w:r w:rsidR="00763DF7" w:rsidRPr="009A31BA">
        <w:rPr>
          <w:rFonts w:ascii="Times New Roman" w:eastAsia="宋体" w:hAnsi="Times New Roman" w:cs="Times New Roman"/>
          <w:color w:val="000000" w:themeColor="text1"/>
          <w:sz w:val="24"/>
        </w:rPr>
        <w:t>其中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的差异可能是由于注册研究中的检测和报告不足所致。</w:t>
      </w:r>
    </w:p>
    <w:p w14:paraId="121DD4E7" w14:textId="77777777" w:rsidR="00275C3C" w:rsidRPr="009A31BA" w:rsidRDefault="00275C3C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1D7D6030" w14:textId="77777777" w:rsidR="00275C3C" w:rsidRPr="00CA750D" w:rsidRDefault="00275C3C" w:rsidP="009A31BA">
      <w:pPr>
        <w:spacing w:line="360" w:lineRule="auto"/>
        <w:rPr>
          <w:rFonts w:ascii="Times New Roman" w:eastAsia="宋体" w:hAnsi="Times New Roman" w:cs="Times New Roman"/>
          <w:b/>
          <w:color w:val="000000" w:themeColor="text1"/>
          <w:sz w:val="28"/>
          <w:szCs w:val="28"/>
        </w:rPr>
      </w:pPr>
      <w:r w:rsidRPr="00CA750D"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t>诊断</w:t>
      </w:r>
    </w:p>
    <w:p w14:paraId="6DDFC2BD" w14:textId="324A2F06" w:rsidR="00F63750" w:rsidRPr="009A31BA" w:rsidRDefault="00275C3C" w:rsidP="00326887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迅速识别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763DF7" w:rsidRPr="009A31BA">
        <w:rPr>
          <w:rFonts w:ascii="Times New Roman" w:eastAsia="宋体" w:hAnsi="Times New Roman" w:cs="Times New Roman"/>
          <w:color w:val="000000" w:themeColor="text1"/>
          <w:sz w:val="24"/>
        </w:rPr>
        <w:t>至关重要。日常神经系统检查是最重要的筛查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工具。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 xml:space="preserve"> ICH</w:t>
      </w:r>
      <w:r w:rsidR="00864775" w:rsidRPr="009A31BA">
        <w:rPr>
          <w:rFonts w:ascii="Times New Roman" w:eastAsia="宋体" w:hAnsi="Times New Roman" w:cs="Times New Roman"/>
          <w:color w:val="000000" w:themeColor="text1"/>
          <w:sz w:val="24"/>
        </w:rPr>
        <w:t>的临床表现差异很大，具体取决于受影响的</w:t>
      </w:r>
      <w:proofErr w:type="gramStart"/>
      <w:r w:rsidR="00864775" w:rsidRPr="009A31BA">
        <w:rPr>
          <w:rFonts w:ascii="Times New Roman" w:eastAsia="宋体" w:hAnsi="Times New Roman" w:cs="Times New Roman"/>
          <w:color w:val="000000" w:themeColor="text1"/>
          <w:sz w:val="24"/>
        </w:rPr>
        <w:t>脑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结构</w:t>
      </w:r>
      <w:proofErr w:type="gramEnd"/>
      <w:r w:rsidR="00864775" w:rsidRPr="009A31BA">
        <w:rPr>
          <w:rFonts w:ascii="Times New Roman" w:eastAsia="宋体" w:hAnsi="Times New Roman" w:cs="Times New Roman"/>
          <w:color w:val="000000" w:themeColor="text1"/>
          <w:sz w:val="24"/>
        </w:rPr>
        <w:t>部位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。</w:t>
      </w:r>
      <w:r w:rsidR="00864775" w:rsidRPr="009A31BA">
        <w:rPr>
          <w:rFonts w:ascii="Times New Roman" w:eastAsia="宋体" w:hAnsi="Times New Roman" w:cs="Times New Roman"/>
          <w:color w:val="000000" w:themeColor="text1"/>
          <w:sz w:val="24"/>
        </w:rPr>
        <w:t>患者可</w:t>
      </w:r>
      <w:proofErr w:type="gramStart"/>
      <w:r w:rsidR="00864775" w:rsidRPr="009A31BA">
        <w:rPr>
          <w:rFonts w:ascii="Times New Roman" w:eastAsia="宋体" w:hAnsi="Times New Roman" w:cs="Times New Roman"/>
          <w:color w:val="000000" w:themeColor="text1"/>
          <w:sz w:val="24"/>
        </w:rPr>
        <w:t>伴有局</w:t>
      </w:r>
      <w:proofErr w:type="gramEnd"/>
      <w:r w:rsidR="00864775" w:rsidRPr="009A31BA">
        <w:rPr>
          <w:rFonts w:ascii="Times New Roman" w:eastAsia="宋体" w:hAnsi="Times New Roman" w:cs="Times New Roman"/>
          <w:color w:val="000000" w:themeColor="text1"/>
          <w:sz w:val="24"/>
        </w:rPr>
        <w:t>灶性感觉运动缺失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，癫痫发作，瞳孔异常，昏迷或脑死亡。但是，由于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="00864775" w:rsidRPr="009A31BA">
        <w:rPr>
          <w:rFonts w:ascii="Times New Roman" w:eastAsia="宋体" w:hAnsi="Times New Roman" w:cs="Times New Roman"/>
          <w:color w:val="000000" w:themeColor="text1"/>
          <w:sz w:val="24"/>
        </w:rPr>
        <w:t>患者通常处于中度到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深</w:t>
      </w:r>
      <w:r w:rsidR="00864775" w:rsidRPr="009A31BA">
        <w:rPr>
          <w:rFonts w:ascii="Times New Roman" w:eastAsia="宋体" w:hAnsi="Times New Roman" w:cs="Times New Roman"/>
          <w:color w:val="000000" w:themeColor="text1"/>
          <w:sz w:val="24"/>
        </w:rPr>
        <w:t>度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的镇静状态，早期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763DF7" w:rsidRPr="009A31BA">
        <w:rPr>
          <w:rFonts w:ascii="Times New Roman" w:eastAsia="宋体" w:hAnsi="Times New Roman" w:cs="Times New Roman"/>
          <w:color w:val="000000" w:themeColor="text1"/>
          <w:sz w:val="24"/>
        </w:rPr>
        <w:t>诊断</w:t>
      </w:r>
      <w:r w:rsidR="00C27A38" w:rsidRPr="009A31BA">
        <w:rPr>
          <w:rFonts w:ascii="Times New Roman" w:eastAsia="宋体" w:hAnsi="Times New Roman" w:cs="Times New Roman"/>
          <w:color w:val="000000" w:themeColor="text1"/>
          <w:sz w:val="24"/>
        </w:rPr>
        <w:t>非常具有挑战性，因为</w:t>
      </w:r>
      <w:r w:rsidR="000D16C1" w:rsidRPr="009A31BA">
        <w:rPr>
          <w:rFonts w:ascii="Times New Roman" w:eastAsia="宋体" w:hAnsi="Times New Roman" w:cs="Times New Roman"/>
          <w:color w:val="000000" w:themeColor="text1"/>
          <w:sz w:val="24"/>
        </w:rPr>
        <w:t>停止</w:t>
      </w:r>
      <w:proofErr w:type="gramStart"/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镇静后</w:t>
      </w:r>
      <w:proofErr w:type="gramEnd"/>
      <w:r w:rsidR="00C27A38" w:rsidRPr="009A31BA">
        <w:rPr>
          <w:rFonts w:ascii="Times New Roman" w:eastAsia="宋体" w:hAnsi="Times New Roman" w:cs="Times New Roman"/>
          <w:color w:val="000000" w:themeColor="text1"/>
          <w:sz w:val="24"/>
        </w:rPr>
        <w:t>的</w:t>
      </w:r>
      <w:r w:rsidR="000D16C1">
        <w:rPr>
          <w:rFonts w:ascii="Times New Roman" w:eastAsia="宋体" w:hAnsi="Times New Roman" w:cs="Times New Roman" w:hint="eastAsia"/>
          <w:color w:val="000000" w:themeColor="text1"/>
          <w:sz w:val="24"/>
        </w:rPr>
        <w:t>苏</w:t>
      </w:r>
      <w:r w:rsidR="000D16C1" w:rsidRPr="009A31BA">
        <w:rPr>
          <w:rFonts w:ascii="Times New Roman" w:eastAsia="宋体" w:hAnsi="Times New Roman" w:cs="Times New Roman"/>
          <w:color w:val="000000" w:themeColor="text1"/>
          <w:sz w:val="24"/>
        </w:rPr>
        <w:t>醒</w:t>
      </w:r>
      <w:r w:rsidR="00C27A38" w:rsidRPr="009A31BA">
        <w:rPr>
          <w:rFonts w:ascii="Times New Roman" w:eastAsia="宋体" w:hAnsi="Times New Roman" w:cs="Times New Roman"/>
          <w:color w:val="000000" w:themeColor="text1"/>
          <w:sz w:val="24"/>
        </w:rPr>
        <w:t>延迟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或</w:t>
      </w:r>
      <w:r w:rsidR="00C27A38" w:rsidRPr="009A31BA">
        <w:rPr>
          <w:rFonts w:ascii="Times New Roman" w:eastAsia="宋体" w:hAnsi="Times New Roman" w:cs="Times New Roman"/>
          <w:color w:val="000000" w:themeColor="text1"/>
          <w:sz w:val="24"/>
        </w:rPr>
        <w:t>意识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混乱</w:t>
      </w:r>
      <w:r w:rsidR="00C27A38" w:rsidRPr="009A31BA">
        <w:rPr>
          <w:rFonts w:ascii="Times New Roman" w:eastAsia="宋体" w:hAnsi="Times New Roman" w:cs="Times New Roman"/>
          <w:color w:val="000000" w:themeColor="text1"/>
          <w:sz w:val="24"/>
        </w:rPr>
        <w:t>才会考虑有后遗症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。</w:t>
      </w:r>
      <w:r w:rsidR="00C27A38" w:rsidRPr="009A31BA">
        <w:rPr>
          <w:rFonts w:ascii="Times New Roman" w:eastAsia="宋体" w:hAnsi="Times New Roman" w:cs="Times New Roman"/>
          <w:color w:val="000000" w:themeColor="text1"/>
          <w:sz w:val="24"/>
        </w:rPr>
        <w:t>由于脑成像检查的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随机性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，诊断时间有所不同。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 xml:space="preserve"> </w:t>
      </w:r>
      <w:proofErr w:type="spellStart"/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Lidegran</w:t>
      </w:r>
      <w:proofErr w:type="spellEnd"/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等报道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在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支持的前四天内，有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67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％的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被诊断出。</w:t>
      </w:r>
      <w:proofErr w:type="spellStart"/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Lockie</w:t>
      </w:r>
      <w:proofErr w:type="spellEnd"/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等</w:t>
      </w:r>
      <w:proofErr w:type="gramStart"/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报道称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脑</w:t>
      </w:r>
      <w:proofErr w:type="gramEnd"/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CT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检查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中有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85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％的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出现在大多数刚插管后的患者中。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重度镇静患者，可以使用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 xml:space="preserve">NIRS 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辅助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的日常筛查。当患者的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rSO</w:t>
      </w:r>
      <w:r w:rsidRPr="00CA750D">
        <w:rPr>
          <w:rFonts w:ascii="Times New Roman" w:eastAsia="宋体" w:hAnsi="Times New Roman" w:cs="Times New Roman"/>
          <w:color w:val="000000" w:themeColor="text1"/>
          <w:sz w:val="24"/>
          <w:vertAlign w:val="subscript"/>
        </w:rPr>
        <w:t>2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绝对值低于基线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40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％或</w:t>
      </w:r>
      <w:r w:rsidR="00630090" w:rsidRPr="009A31BA">
        <w:rPr>
          <w:rFonts w:ascii="Times New Roman" w:eastAsia="宋体" w:hAnsi="Times New Roman" w:cs="Times New Roman"/>
          <w:color w:val="000000" w:themeColor="text1"/>
          <w:sz w:val="24"/>
        </w:rPr>
        <w:t>比基础值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降低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25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％时，尝试进行血液动力学干预以优化向大脑的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lastRenderedPageBreak/>
        <w:t>氧气输送。如果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rSO</w:t>
      </w:r>
      <w:r w:rsidRPr="00CA750D">
        <w:rPr>
          <w:rFonts w:ascii="Times New Roman" w:eastAsia="宋体" w:hAnsi="Times New Roman" w:cs="Times New Roman"/>
          <w:color w:val="000000" w:themeColor="text1"/>
          <w:sz w:val="24"/>
          <w:vertAlign w:val="subscript"/>
        </w:rPr>
        <w:t>2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仍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保持较低水平，则患者需要进行脑成像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检查，研究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发现此情况的所有四名患者均发生脑血管意外。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另外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的神经系统并发症与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S100B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升高有关，先于症状出现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。同样，血清神经元特异性烯醇化酶峰高可预测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CT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上神经系统病变的发生，并具有统计</w:t>
      </w:r>
      <w:r w:rsidR="00630090" w:rsidRPr="009A31BA">
        <w:rPr>
          <w:rFonts w:ascii="Times New Roman" w:eastAsia="宋体" w:hAnsi="Times New Roman" w:cs="Times New Roman"/>
          <w:color w:val="000000" w:themeColor="text1"/>
          <w:sz w:val="24"/>
        </w:rPr>
        <w:t>学一致性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。</w:t>
      </w:r>
    </w:p>
    <w:p w14:paraId="3C3EBA6E" w14:textId="62FABF29" w:rsidR="00C37AF6" w:rsidRPr="009A31BA" w:rsidRDefault="00F63750" w:rsidP="00326887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的诊断通常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靠</w:t>
      </w:r>
      <w:r w:rsidR="00A64ECA" w:rsidRPr="009A31BA">
        <w:rPr>
          <w:rFonts w:ascii="Times New Roman" w:eastAsia="宋体" w:hAnsi="Times New Roman" w:cs="Times New Roman"/>
          <w:color w:val="000000" w:themeColor="text1"/>
          <w:sz w:val="24"/>
        </w:rPr>
        <w:t>脑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C</w:t>
      </w:r>
      <w:r w:rsidR="00A64ECA" w:rsidRPr="009A31BA">
        <w:rPr>
          <w:rFonts w:ascii="Times New Roman" w:eastAsia="宋体" w:hAnsi="Times New Roman" w:cs="Times New Roman"/>
          <w:color w:val="000000" w:themeColor="text1"/>
          <w:sz w:val="24"/>
        </w:rPr>
        <w:t>T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。</w:t>
      </w:r>
      <w:r w:rsidR="00122550" w:rsidRPr="009A31BA">
        <w:rPr>
          <w:rFonts w:ascii="Times New Roman" w:eastAsia="宋体" w:hAnsi="Times New Roman" w:cs="Times New Roman"/>
          <w:color w:val="000000" w:themeColor="text1"/>
          <w:sz w:val="24"/>
        </w:rPr>
        <w:t>没有报告说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频繁或系统</w:t>
      </w:r>
      <w:r w:rsidR="00122550" w:rsidRPr="009A31BA">
        <w:rPr>
          <w:rFonts w:ascii="Times New Roman" w:eastAsia="宋体" w:hAnsi="Times New Roman" w:cs="Times New Roman"/>
          <w:color w:val="000000" w:themeColor="text1"/>
          <w:sz w:val="24"/>
        </w:rPr>
        <w:t>转运患者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进行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CT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扫描</w:t>
      </w:r>
      <w:r w:rsidR="00DB31C2" w:rsidRPr="009A31BA">
        <w:rPr>
          <w:rFonts w:ascii="Times New Roman" w:eastAsia="宋体" w:hAnsi="Times New Roman" w:cs="Times New Roman"/>
          <w:color w:val="000000" w:themeColor="text1"/>
          <w:sz w:val="24"/>
        </w:rPr>
        <w:t>会引发相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关重大并发症。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患者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可以出现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不同类型的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脑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出血。在英国（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UK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）接受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VV-ECMO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治疗的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250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例严重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ARDS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患脑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CT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检查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中，发现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41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例患者中有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（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16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％）。在这些患者中，有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20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％患有</w:t>
      </w:r>
      <w:r w:rsidR="000D16C1">
        <w:rPr>
          <w:rFonts w:ascii="Times New Roman" w:eastAsia="宋体" w:hAnsi="Times New Roman" w:cs="Times New Roman" w:hint="eastAsia"/>
          <w:color w:val="000000" w:themeColor="text1"/>
          <w:sz w:val="24"/>
        </w:rPr>
        <w:t>大量脑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实质出血（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IPH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），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39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</w:t>
      </w:r>
      <w:proofErr w:type="gramStart"/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的是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淤点</w:t>
      </w:r>
      <w:proofErr w:type="gramEnd"/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性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IPH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56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％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是蛛网膜下腔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出血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2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％的硬膜下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出血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，其中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37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％的患者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合并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有一种以上的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出血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类型。</w:t>
      </w:r>
      <w:r w:rsidR="00630090" w:rsidRPr="009A31BA">
        <w:rPr>
          <w:rFonts w:ascii="Times New Roman" w:eastAsia="宋体" w:hAnsi="Times New Roman" w:cs="Times New Roman"/>
          <w:color w:val="000000" w:themeColor="text1"/>
          <w:sz w:val="24"/>
        </w:rPr>
        <w:t>类似</w:t>
      </w:r>
      <w:r w:rsidR="003F2A2F" w:rsidRPr="009A31BA">
        <w:rPr>
          <w:rFonts w:ascii="Times New Roman" w:eastAsia="宋体" w:hAnsi="Times New Roman" w:cs="Times New Roman"/>
          <w:color w:val="000000" w:themeColor="text1"/>
          <w:sz w:val="24"/>
        </w:rPr>
        <w:t>小量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脑</w:t>
      </w:r>
      <w:r w:rsidR="00CD462D" w:rsidRPr="009A31BA">
        <w:rPr>
          <w:rFonts w:ascii="Times New Roman" w:eastAsia="宋体" w:hAnsi="Times New Roman" w:cs="Times New Roman"/>
          <w:color w:val="000000" w:themeColor="text1"/>
          <w:sz w:val="24"/>
        </w:rPr>
        <w:t>出血等微妙异常</w:t>
      </w:r>
      <w:r w:rsidR="003F2A2F" w:rsidRPr="009A31BA">
        <w:rPr>
          <w:rFonts w:ascii="Times New Roman" w:eastAsia="宋体" w:hAnsi="Times New Roman" w:cs="Times New Roman"/>
          <w:color w:val="000000" w:themeColor="text1"/>
          <w:sz w:val="24"/>
        </w:rPr>
        <w:t>情况</w:t>
      </w:r>
      <w:r w:rsidR="00CD462D" w:rsidRPr="009A31BA">
        <w:rPr>
          <w:rFonts w:ascii="Times New Roman" w:eastAsia="宋体" w:hAnsi="Times New Roman" w:cs="Times New Roman"/>
          <w:color w:val="000000" w:themeColor="text1"/>
          <w:sz w:val="24"/>
        </w:rPr>
        <w:t>在</w:t>
      </w:r>
      <w:r w:rsidR="00CD462D" w:rsidRPr="009A31BA">
        <w:rPr>
          <w:rFonts w:ascii="Times New Roman" w:eastAsia="宋体" w:hAnsi="Times New Roman" w:cs="Times New Roman"/>
          <w:color w:val="000000" w:themeColor="text1"/>
          <w:sz w:val="24"/>
        </w:rPr>
        <w:t>CT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上容易漏诊，但</w:t>
      </w:r>
      <w:r w:rsidR="00CD462D" w:rsidRPr="009A31BA">
        <w:rPr>
          <w:rFonts w:ascii="Times New Roman" w:eastAsia="宋体" w:hAnsi="Times New Roman" w:cs="Times New Roman"/>
          <w:color w:val="000000" w:themeColor="text1"/>
          <w:sz w:val="24"/>
        </w:rPr>
        <w:t>MRI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能</w:t>
      </w:r>
      <w:r w:rsidR="00CD462D" w:rsidRPr="009A31BA">
        <w:rPr>
          <w:rFonts w:ascii="Times New Roman" w:eastAsia="宋体" w:hAnsi="Times New Roman" w:cs="Times New Roman"/>
          <w:color w:val="000000" w:themeColor="text1"/>
          <w:sz w:val="24"/>
        </w:rPr>
        <w:t>检测到。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但</w:t>
      </w:r>
      <w:r w:rsidR="00CD462D"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患者，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 xml:space="preserve"> </w:t>
      </w:r>
      <w:r w:rsidR="00CD462D" w:rsidRPr="009A31BA">
        <w:rPr>
          <w:rFonts w:ascii="Times New Roman" w:eastAsia="宋体" w:hAnsi="Times New Roman" w:cs="Times New Roman"/>
          <w:color w:val="000000" w:themeColor="text1"/>
          <w:sz w:val="24"/>
        </w:rPr>
        <w:t>MRI</w:t>
      </w:r>
      <w:r w:rsidR="00E450C7" w:rsidRPr="009A31BA">
        <w:rPr>
          <w:rFonts w:ascii="Times New Roman" w:eastAsia="宋体" w:hAnsi="Times New Roman" w:cs="Times New Roman"/>
          <w:color w:val="000000" w:themeColor="text1"/>
          <w:sz w:val="24"/>
        </w:rPr>
        <w:t>操作</w:t>
      </w:r>
      <w:r w:rsidR="00CD462D" w:rsidRPr="009A31BA">
        <w:rPr>
          <w:rFonts w:ascii="Times New Roman" w:eastAsia="宋体" w:hAnsi="Times New Roman" w:cs="Times New Roman"/>
          <w:color w:val="000000" w:themeColor="text1"/>
          <w:sz w:val="24"/>
        </w:rPr>
        <w:t>不可行。</w:t>
      </w:r>
    </w:p>
    <w:p w14:paraId="4D82EBD8" w14:textId="77777777" w:rsidR="00E450C7" w:rsidRPr="009A31BA" w:rsidRDefault="00E450C7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329EAE29" w14:textId="77777777" w:rsidR="00C37AF6" w:rsidRPr="00CA750D" w:rsidRDefault="00C37AF6" w:rsidP="009A31BA">
      <w:pPr>
        <w:spacing w:line="360" w:lineRule="auto"/>
        <w:rPr>
          <w:rFonts w:ascii="Times New Roman" w:eastAsia="宋体" w:hAnsi="Times New Roman" w:cs="Times New Roman"/>
          <w:b/>
          <w:color w:val="000000" w:themeColor="text1"/>
          <w:sz w:val="28"/>
          <w:szCs w:val="28"/>
        </w:rPr>
      </w:pPr>
      <w:r w:rsidRPr="00CA750D"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t>风险因素</w:t>
      </w:r>
    </w:p>
    <w:p w14:paraId="0C8C3BEE" w14:textId="77777777" w:rsidR="0048759F" w:rsidRPr="009A31BA" w:rsidRDefault="00C37AF6" w:rsidP="00326887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某些患者特征与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</w:t>
      </w:r>
      <w:r w:rsidR="00630090" w:rsidRPr="009A31BA">
        <w:rPr>
          <w:rFonts w:ascii="Times New Roman" w:eastAsia="宋体" w:hAnsi="Times New Roman" w:cs="Times New Roman"/>
          <w:color w:val="000000" w:themeColor="text1"/>
          <w:sz w:val="24"/>
        </w:rPr>
        <w:t>相关</w:t>
      </w:r>
      <w:r w:rsidR="0048759F" w:rsidRPr="009A31BA">
        <w:rPr>
          <w:rFonts w:ascii="Times New Roman" w:eastAsia="宋体" w:hAnsi="Times New Roman" w:cs="Times New Roman"/>
          <w:color w:val="000000" w:themeColor="text1"/>
          <w:sz w:val="24"/>
        </w:rPr>
        <w:t>高风险见下表</w:t>
      </w:r>
      <w:r w:rsidR="00630090" w:rsidRPr="009A31BA">
        <w:rPr>
          <w:rFonts w:ascii="Times New Roman" w:eastAsia="宋体" w:hAnsi="Times New Roman" w:cs="Times New Roman"/>
          <w:color w:val="000000" w:themeColor="text1"/>
          <w:sz w:val="24"/>
        </w:rPr>
        <w:t>。</w:t>
      </w:r>
    </w:p>
    <w:p w14:paraId="7AE3D58D" w14:textId="77777777" w:rsidR="00630090" w:rsidRPr="009A31BA" w:rsidRDefault="00630090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6055"/>
      </w:tblGrid>
      <w:tr w:rsidR="00967CC0" w:rsidRPr="009A31BA" w14:paraId="21AF36D1" w14:textId="77777777" w:rsidTr="00630090">
        <w:tc>
          <w:tcPr>
            <w:tcW w:w="8290" w:type="dxa"/>
            <w:gridSpan w:val="2"/>
            <w:tcBorders>
              <w:bottom w:val="single" w:sz="4" w:space="0" w:color="auto"/>
            </w:tcBorders>
          </w:tcPr>
          <w:p w14:paraId="118475FD" w14:textId="57EC5E79" w:rsidR="00967CC0" w:rsidRPr="009A31BA" w:rsidRDefault="00967CC0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表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1.</w:t>
            </w:r>
            <w:r w:rsidR="00786F7C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 xml:space="preserve"> 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与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ICH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相关的危险因素</w:t>
            </w:r>
          </w:p>
        </w:tc>
      </w:tr>
      <w:tr w:rsidR="00C31E3A" w:rsidRPr="009A31BA" w14:paraId="311D4DA3" w14:textId="77777777" w:rsidTr="00CA750D">
        <w:tc>
          <w:tcPr>
            <w:tcW w:w="2235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59D6A37A" w14:textId="77777777" w:rsidR="00C31E3A" w:rsidRPr="009A31BA" w:rsidRDefault="00C31E3A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类别</w:t>
            </w:r>
          </w:p>
        </w:tc>
        <w:tc>
          <w:tcPr>
            <w:tcW w:w="6055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A4A57F7" w14:textId="77777777" w:rsidR="00C31E3A" w:rsidRPr="009A31BA" w:rsidRDefault="00C31E3A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危险因素</w:t>
            </w:r>
          </w:p>
        </w:tc>
      </w:tr>
      <w:tr w:rsidR="00C31E3A" w:rsidRPr="009A31BA" w14:paraId="28792245" w14:textId="77777777" w:rsidTr="00CA750D">
        <w:tc>
          <w:tcPr>
            <w:tcW w:w="2235" w:type="dxa"/>
            <w:tcBorders>
              <w:top w:val="single" w:sz="4" w:space="0" w:color="auto"/>
              <w:bottom w:val="nil"/>
              <w:right w:val="nil"/>
            </w:tcBorders>
          </w:tcPr>
          <w:p w14:paraId="4C3834D0" w14:textId="77777777" w:rsidR="00C31E3A" w:rsidRPr="009A31BA" w:rsidRDefault="00C31E3A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患者体征</w:t>
            </w:r>
          </w:p>
        </w:tc>
        <w:tc>
          <w:tcPr>
            <w:tcW w:w="6055" w:type="dxa"/>
            <w:tcBorders>
              <w:top w:val="single" w:sz="4" w:space="0" w:color="auto"/>
              <w:left w:val="nil"/>
              <w:bottom w:val="nil"/>
            </w:tcBorders>
          </w:tcPr>
          <w:p w14:paraId="234EFE29" w14:textId="77777777" w:rsidR="00C31E3A" w:rsidRPr="009A31BA" w:rsidRDefault="00C31E3A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年龄小；女性；体质弱小；家族脑出血史；抗生素治疗；</w:t>
            </w:r>
          </w:p>
        </w:tc>
      </w:tr>
      <w:tr w:rsidR="00C31E3A" w:rsidRPr="009A31BA" w14:paraId="681255FF" w14:textId="77777777" w:rsidTr="00CA750D">
        <w:tc>
          <w:tcPr>
            <w:tcW w:w="2235" w:type="dxa"/>
            <w:tcBorders>
              <w:top w:val="nil"/>
              <w:bottom w:val="nil"/>
              <w:right w:val="nil"/>
            </w:tcBorders>
          </w:tcPr>
          <w:p w14:paraId="4A246D75" w14:textId="77777777" w:rsidR="00C31E3A" w:rsidRPr="009A31BA" w:rsidRDefault="00C31E3A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疾病相关</w:t>
            </w:r>
          </w:p>
        </w:tc>
        <w:tc>
          <w:tcPr>
            <w:tcW w:w="6055" w:type="dxa"/>
            <w:tcBorders>
              <w:top w:val="nil"/>
              <w:left w:val="nil"/>
              <w:bottom w:val="nil"/>
            </w:tcBorders>
          </w:tcPr>
          <w:p w14:paraId="72880AC7" w14:textId="77777777" w:rsidR="00C31E3A" w:rsidRPr="009A31BA" w:rsidRDefault="00C31E3A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ECMO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前心跳骤停；败血症；流感；肾衰；肾替代治疗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ECMO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前机械通气时间；</w:t>
            </w:r>
            <w:proofErr w:type="gramStart"/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入院低</w:t>
            </w:r>
            <w:proofErr w:type="gramEnd"/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血纤维蛋白原；</w:t>
            </w:r>
          </w:p>
        </w:tc>
      </w:tr>
      <w:tr w:rsidR="00C31E3A" w:rsidRPr="009A31BA" w14:paraId="1966D895" w14:textId="77777777" w:rsidTr="00CA750D">
        <w:tc>
          <w:tcPr>
            <w:tcW w:w="2235" w:type="dxa"/>
            <w:tcBorders>
              <w:top w:val="nil"/>
              <w:right w:val="nil"/>
            </w:tcBorders>
          </w:tcPr>
          <w:p w14:paraId="227A1272" w14:textId="77777777" w:rsidR="00C31E3A" w:rsidRPr="009A31BA" w:rsidRDefault="00C31E3A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ECMO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相关</w:t>
            </w:r>
          </w:p>
        </w:tc>
        <w:tc>
          <w:tcPr>
            <w:tcW w:w="6055" w:type="dxa"/>
            <w:tcBorders>
              <w:top w:val="nil"/>
              <w:left w:val="nil"/>
            </w:tcBorders>
          </w:tcPr>
          <w:p w14:paraId="40226E17" w14:textId="77777777" w:rsidR="00C31E3A" w:rsidRPr="009A31BA" w:rsidRDefault="00C31E3A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血浆游离血红蛋白升高；高胆红素血症；</w:t>
            </w:r>
          </w:p>
          <w:p w14:paraId="03E6378F" w14:textId="77777777" w:rsidR="00C31E3A" w:rsidRPr="009A31BA" w:rsidRDefault="00C31E3A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VV-ECMO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的启动</w:t>
            </w:r>
            <w:r w:rsidR="00353E85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时大量、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快速地纠正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PaCO2</w:t>
            </w:r>
          </w:p>
          <w:p w14:paraId="31EE1C34" w14:textId="77777777" w:rsidR="00C31E3A" w:rsidRPr="009A31BA" w:rsidRDefault="00C31E3A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VV ECMO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启动后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PaO2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大量增加；</w:t>
            </w:r>
          </w:p>
          <w:p w14:paraId="16BCB3A9" w14:textId="77777777" w:rsidR="00C31E3A" w:rsidRPr="009A31BA" w:rsidRDefault="00C31E3A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血小板减少症</w:t>
            </w:r>
          </w:p>
          <w:p w14:paraId="604519C8" w14:textId="77777777" w:rsidR="00C31E3A" w:rsidRPr="009A31BA" w:rsidRDefault="00C31E3A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出血（非颅内）</w:t>
            </w:r>
          </w:p>
          <w:p w14:paraId="55FB011F" w14:textId="77777777" w:rsidR="00C31E3A" w:rsidRPr="009A31BA" w:rsidRDefault="00C31E3A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ECMO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期间应用正性肌力药</w:t>
            </w:r>
          </w:p>
        </w:tc>
      </w:tr>
    </w:tbl>
    <w:p w14:paraId="198F8933" w14:textId="77777777" w:rsidR="00B435E5" w:rsidRPr="009A31BA" w:rsidRDefault="00B435E5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328F1E6E" w14:textId="77777777" w:rsidR="00B435E5" w:rsidRPr="00CA750D" w:rsidRDefault="00B435E5" w:rsidP="009A31BA">
      <w:pPr>
        <w:spacing w:line="360" w:lineRule="auto"/>
        <w:rPr>
          <w:rFonts w:ascii="Times New Roman" w:eastAsia="宋体" w:hAnsi="Times New Roman" w:cs="Times New Roman"/>
          <w:b/>
          <w:color w:val="000000" w:themeColor="text1"/>
          <w:sz w:val="28"/>
          <w:szCs w:val="28"/>
        </w:rPr>
      </w:pPr>
      <w:r w:rsidRPr="00CA750D"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t>病理生理学</w:t>
      </w:r>
    </w:p>
    <w:p w14:paraId="378F1E94" w14:textId="77777777" w:rsidR="00B435E5" w:rsidRPr="009A31BA" w:rsidRDefault="00B435E5" w:rsidP="00326887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中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48759F" w:rsidRPr="009A31BA">
        <w:rPr>
          <w:rFonts w:ascii="Times New Roman" w:eastAsia="宋体" w:hAnsi="Times New Roman" w:cs="Times New Roman"/>
          <w:color w:val="000000" w:themeColor="text1"/>
          <w:sz w:val="24"/>
        </w:rPr>
        <w:t>的病理生理学仍不确定。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某些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患者中，非创伤性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lastRenderedPageBreak/>
        <w:t>的常见病因</w:t>
      </w:r>
      <w:r w:rsidR="0048759F" w:rsidRPr="009A31BA">
        <w:rPr>
          <w:rFonts w:ascii="Times New Roman" w:eastAsia="宋体" w:hAnsi="Times New Roman" w:cs="Times New Roman"/>
          <w:color w:val="000000" w:themeColor="text1"/>
          <w:sz w:val="24"/>
        </w:rPr>
        <w:t>可能是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高血压，动脉瘤，血管畸形，脑淀粉样血管病和脑肿瘤。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 xml:space="preserve"> VA-ECMO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ECPR</w:t>
      </w:r>
      <w:r w:rsidR="0048759F" w:rsidRPr="009A31BA">
        <w:rPr>
          <w:rFonts w:ascii="Times New Roman" w:eastAsia="宋体" w:hAnsi="Times New Roman" w:cs="Times New Roman"/>
          <w:color w:val="000000" w:themeColor="text1"/>
          <w:sz w:val="24"/>
        </w:rPr>
        <w:t>患者常见缺血性中风，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其中一些可发生出血性转化。在大多数患者中，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48759F" w:rsidRPr="009A31BA">
        <w:rPr>
          <w:rFonts w:ascii="Times New Roman" w:eastAsia="宋体" w:hAnsi="Times New Roman" w:cs="Times New Roman"/>
          <w:color w:val="000000" w:themeColor="text1"/>
          <w:sz w:val="24"/>
        </w:rPr>
        <w:t>的发展可能涉及两种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机制。首先，血脑屏障可能发生</w:t>
      </w:r>
      <w:r w:rsidR="0048759F" w:rsidRPr="009A31BA">
        <w:rPr>
          <w:rFonts w:ascii="Times New Roman" w:eastAsia="宋体" w:hAnsi="Times New Roman" w:cs="Times New Roman"/>
          <w:color w:val="000000" w:themeColor="text1"/>
          <w:sz w:val="24"/>
        </w:rPr>
        <w:t>破坏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，导致血浆甚至红细胞外渗。然后，止血功能受损可能导致明显的血肿形成。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 xml:space="preserve"> 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本身及其导致的潜在疾病过程在这两个步骤中都发挥了作用（图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1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）。</w:t>
      </w:r>
    </w:p>
    <w:p w14:paraId="0894EB96" w14:textId="48847AC2" w:rsidR="0048759F" w:rsidRPr="009A31BA" w:rsidRDefault="0007223A" w:rsidP="00A67E4F">
      <w:pPr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  <w:sz w:val="24"/>
        </w:rPr>
      </w:pPr>
      <w:r>
        <w:rPr>
          <w:rFonts w:ascii="Times New Roman" w:eastAsia="宋体" w:hAnsi="Times New Roman" w:cs="Times New Roman"/>
          <w:noProof/>
          <w:color w:val="000000" w:themeColor="text1"/>
          <w:sz w:val="24"/>
        </w:rPr>
        <w:drawing>
          <wp:inline distT="0" distB="0" distL="0" distR="0" wp14:anchorId="178DE8FC" wp14:editId="5CE978E5">
            <wp:extent cx="6243048" cy="3553272"/>
            <wp:effectExtent l="0" t="0" r="5715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61430" cy="35637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1E8879" w14:textId="77777777" w:rsidR="004C78CA" w:rsidRPr="009A31BA" w:rsidRDefault="004C78CA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32665F87" w14:textId="77777777" w:rsidR="00390B54" w:rsidRDefault="0048759F" w:rsidP="00326887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与疾病有关的过程可能通过各种机制削弱止血作用。抗</w:t>
      </w:r>
      <w:proofErr w:type="gramStart"/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栓</w:t>
      </w:r>
      <w:proofErr w:type="gramEnd"/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药</w:t>
      </w:r>
      <w:r w:rsidR="00A27493" w:rsidRPr="009A31BA">
        <w:rPr>
          <w:rFonts w:ascii="Times New Roman" w:eastAsia="宋体" w:hAnsi="Times New Roman" w:cs="Times New Roman"/>
          <w:color w:val="000000" w:themeColor="text1"/>
          <w:sz w:val="24"/>
        </w:rPr>
        <w:t>可能在疾病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已经加剧</w:t>
      </w:r>
      <w:r w:rsidR="00A27493" w:rsidRPr="009A31BA">
        <w:rPr>
          <w:rFonts w:ascii="Times New Roman" w:eastAsia="宋体" w:hAnsi="Times New Roman" w:cs="Times New Roman"/>
          <w:color w:val="000000" w:themeColor="text1"/>
          <w:sz w:val="24"/>
        </w:rPr>
        <w:t>如急性心肌梗塞或肺栓塞等背景下开始使用，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这</w:t>
      </w:r>
      <w:r w:rsidR="00A27493" w:rsidRPr="009A31BA">
        <w:rPr>
          <w:rFonts w:ascii="Times New Roman" w:eastAsia="宋体" w:hAnsi="Times New Roman" w:cs="Times New Roman"/>
          <w:color w:val="000000" w:themeColor="text1"/>
          <w:sz w:val="24"/>
        </w:rPr>
        <w:t>直接增加了</w:t>
      </w:r>
      <w:r w:rsidR="00A27493"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A27493" w:rsidRPr="009A31BA">
        <w:rPr>
          <w:rFonts w:ascii="Times New Roman" w:eastAsia="宋体" w:hAnsi="Times New Roman" w:cs="Times New Roman"/>
          <w:color w:val="000000" w:themeColor="text1"/>
          <w:sz w:val="24"/>
        </w:rPr>
        <w:t>的风险。与</w:t>
      </w:r>
      <w:r w:rsidR="00A27493"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A27493" w:rsidRPr="009A31BA">
        <w:rPr>
          <w:rFonts w:ascii="Times New Roman" w:eastAsia="宋体" w:hAnsi="Times New Roman" w:cs="Times New Roman"/>
          <w:color w:val="000000" w:themeColor="text1"/>
          <w:sz w:val="24"/>
        </w:rPr>
        <w:t>相关的败血症可引起血管内凝血功能减退（</w:t>
      </w:r>
      <w:r w:rsidR="00A27493" w:rsidRPr="009A31BA">
        <w:rPr>
          <w:rFonts w:ascii="Times New Roman" w:eastAsia="宋体" w:hAnsi="Times New Roman" w:cs="Times New Roman"/>
          <w:color w:val="000000" w:themeColor="text1"/>
          <w:sz w:val="24"/>
        </w:rPr>
        <w:t>DIC</w:t>
      </w:r>
      <w:r w:rsidR="00A27493" w:rsidRPr="009A31BA">
        <w:rPr>
          <w:rFonts w:ascii="Times New Roman" w:eastAsia="宋体" w:hAnsi="Times New Roman" w:cs="Times New Roman"/>
          <w:color w:val="000000" w:themeColor="text1"/>
          <w:sz w:val="24"/>
        </w:rPr>
        <w:t>），血小板功能障碍和血小板减少症。其他重要的危险因素，例如肾功能衰竭和</w:t>
      </w:r>
      <w:r w:rsidR="00A27493" w:rsidRPr="009A31BA">
        <w:rPr>
          <w:rFonts w:ascii="Times New Roman" w:eastAsia="宋体" w:hAnsi="Times New Roman" w:cs="Times New Roman"/>
          <w:color w:val="000000" w:themeColor="text1"/>
          <w:sz w:val="24"/>
        </w:rPr>
        <w:t>RRT</w:t>
      </w:r>
      <w:r w:rsidR="00A27493" w:rsidRPr="009A31BA">
        <w:rPr>
          <w:rFonts w:ascii="Times New Roman" w:eastAsia="宋体" w:hAnsi="Times New Roman" w:cs="Times New Roman"/>
          <w:color w:val="000000" w:themeColor="text1"/>
          <w:sz w:val="24"/>
        </w:rPr>
        <w:t>，会导致血小板功能障碍和血小板减少症。</w:t>
      </w:r>
      <w:r w:rsidR="00BA37CF"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="00BA37CF" w:rsidRPr="009A31BA">
        <w:rPr>
          <w:rFonts w:ascii="Times New Roman" w:eastAsia="宋体" w:hAnsi="Times New Roman" w:cs="Times New Roman"/>
          <w:color w:val="000000" w:themeColor="text1"/>
          <w:sz w:val="24"/>
        </w:rPr>
        <w:t>对止血有重大影响。由于血液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与管路相互作用会导致凝血级联反应的激活，因此必须进行抗凝以防止管路中的血栓形成。该管路</w:t>
      </w:r>
      <w:r w:rsidR="00412845">
        <w:rPr>
          <w:rFonts w:ascii="Times New Roman" w:eastAsia="宋体" w:hAnsi="Times New Roman" w:cs="Times New Roman"/>
          <w:color w:val="000000" w:themeColor="text1"/>
          <w:sz w:val="24"/>
        </w:rPr>
        <w:t>诱发血小板功能障碍和消耗。</w:t>
      </w:r>
    </w:p>
    <w:p w14:paraId="1C6B8228" w14:textId="77777777" w:rsidR="00412845" w:rsidRPr="009A31BA" w:rsidRDefault="00412845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636CF047" w14:textId="77777777" w:rsidR="00390B54" w:rsidRPr="00CA750D" w:rsidRDefault="00390B54" w:rsidP="009A31BA">
      <w:pPr>
        <w:spacing w:line="360" w:lineRule="auto"/>
        <w:rPr>
          <w:rFonts w:ascii="Times New Roman" w:eastAsia="宋体" w:hAnsi="Times New Roman" w:cs="Times New Roman"/>
          <w:b/>
          <w:color w:val="000000" w:themeColor="text1"/>
          <w:sz w:val="28"/>
          <w:szCs w:val="28"/>
        </w:rPr>
      </w:pPr>
      <w:r w:rsidRPr="00CA750D"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t>预后</w:t>
      </w:r>
    </w:p>
    <w:p w14:paraId="654AB306" w14:textId="77777777" w:rsidR="00412845" w:rsidRDefault="00390B54" w:rsidP="00326887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在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ELSO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注册中心，只有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11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％的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VA-ECMO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患者和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26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％的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VV-ECMO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患者幸存到医院出院。同样，在小型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VA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VV – 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混合人群中，存活率为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lastRenderedPageBreak/>
        <w:t>19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</w:t>
      </w:r>
      <w:r w:rsidR="0048759F" w:rsidRPr="009A31BA">
        <w:rPr>
          <w:rFonts w:ascii="Times New Roman" w:eastAsia="宋体" w:hAnsi="Times New Roman" w:cs="Times New Roman"/>
          <w:color w:val="000000" w:themeColor="text1"/>
          <w:sz w:val="24"/>
        </w:rPr>
        <w:t>，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瑞典是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22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％，美国是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17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％。</w:t>
      </w:r>
    </w:p>
    <w:p w14:paraId="7DC2E835" w14:textId="77777777" w:rsidR="00353E85" w:rsidRPr="009A31BA" w:rsidRDefault="00353E85" w:rsidP="00412845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39534333" w14:textId="77777777" w:rsidR="00C8613A" w:rsidRPr="00CA750D" w:rsidRDefault="00C8613A" w:rsidP="009A31BA">
      <w:pPr>
        <w:spacing w:line="360" w:lineRule="auto"/>
        <w:rPr>
          <w:rFonts w:ascii="Times New Roman" w:eastAsia="宋体" w:hAnsi="Times New Roman" w:cs="Times New Roman"/>
          <w:b/>
          <w:color w:val="000000" w:themeColor="text1"/>
          <w:sz w:val="28"/>
          <w:szCs w:val="28"/>
        </w:rPr>
      </w:pPr>
      <w:r w:rsidRPr="00CA750D"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t>预防</w:t>
      </w:r>
    </w:p>
    <w:p w14:paraId="4A45BE70" w14:textId="77777777" w:rsidR="000E6F60" w:rsidRDefault="00BE43CE" w:rsidP="00326887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临床医生应考虑患者和疾病相关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因素，以评估在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启动前发生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的风险（见表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1</w:t>
      </w:r>
      <w:r w:rsidR="006806A5" w:rsidRPr="009A31BA">
        <w:rPr>
          <w:rFonts w:ascii="Times New Roman" w:eastAsia="宋体" w:hAnsi="Times New Roman" w:cs="Times New Roman"/>
          <w:color w:val="000000" w:themeColor="text1"/>
          <w:sz w:val="24"/>
        </w:rPr>
        <w:t>）。为了预防高危患者出现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，</w:t>
      </w:r>
      <w:r w:rsidR="006806A5" w:rsidRPr="009A31BA">
        <w:rPr>
          <w:rFonts w:ascii="Times New Roman" w:eastAsia="宋体" w:hAnsi="Times New Roman" w:cs="Times New Roman"/>
          <w:color w:val="000000" w:themeColor="text1"/>
          <w:sz w:val="24"/>
        </w:rPr>
        <w:t>应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合理使用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ELSO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推荐的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50-100</w:t>
      </w:r>
      <w:r w:rsidR="006806A5" w:rsidRPr="009A31BA">
        <w:rPr>
          <w:rFonts w:ascii="Times New Roman" w:eastAsia="宋体" w:hAnsi="Times New Roman" w:cs="Times New Roman"/>
          <w:color w:val="000000" w:themeColor="text1"/>
          <w:sz w:val="24"/>
        </w:rPr>
        <w:t>U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/ kg</w:t>
      </w:r>
      <w:r w:rsidR="006806A5" w:rsidRPr="009A31BA">
        <w:rPr>
          <w:rFonts w:ascii="Times New Roman" w:eastAsia="宋体" w:hAnsi="Times New Roman" w:cs="Times New Roman"/>
          <w:color w:val="000000" w:themeColor="text1"/>
          <w:sz w:val="24"/>
        </w:rPr>
        <w:t>范围内的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下限初始肝素剂量（表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2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）。抗凝</w:t>
      </w:r>
      <w:r w:rsidR="006806A5" w:rsidRPr="009A31BA">
        <w:rPr>
          <w:rFonts w:ascii="Times New Roman" w:eastAsia="宋体" w:hAnsi="Times New Roman" w:cs="Times New Roman"/>
          <w:color w:val="000000" w:themeColor="text1"/>
          <w:sz w:val="24"/>
        </w:rPr>
        <w:t>治疗在实践中有相当大的差异</w:t>
      </w:r>
      <w:r w:rsidR="002E2981" w:rsidRPr="009A31BA">
        <w:rPr>
          <w:rFonts w:ascii="Times New Roman" w:eastAsia="宋体" w:hAnsi="Times New Roman" w:cs="Times New Roman"/>
          <w:color w:val="000000" w:themeColor="text1"/>
          <w:sz w:val="24"/>
        </w:rPr>
        <w:t>，以哪个参数为目标达到哪个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阈值</w:t>
      </w:r>
      <w:r w:rsidR="002E2981" w:rsidRPr="009A31BA">
        <w:rPr>
          <w:rFonts w:ascii="Times New Roman" w:eastAsia="宋体" w:hAnsi="Times New Roman" w:cs="Times New Roman"/>
          <w:color w:val="000000" w:themeColor="text1"/>
          <w:sz w:val="24"/>
        </w:rPr>
        <w:t>仍然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不确定。</w:t>
      </w:r>
      <w:proofErr w:type="spellStart"/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Angerstrand</w:t>
      </w:r>
      <w:proofErr w:type="spellEnd"/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等</w:t>
      </w:r>
      <w:r w:rsidR="002E2981" w:rsidRPr="009A31BA">
        <w:rPr>
          <w:rFonts w:ascii="Times New Roman" w:eastAsia="宋体" w:hAnsi="Times New Roman" w:cs="Times New Roman"/>
          <w:color w:val="000000" w:themeColor="text1"/>
          <w:sz w:val="24"/>
        </w:rPr>
        <w:t>人证实了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低抗凝目标（</w:t>
      </w:r>
      <w:proofErr w:type="spellStart"/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aPTT</w:t>
      </w:r>
      <w:proofErr w:type="spellEnd"/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 xml:space="preserve"> 40-60s</w:t>
      </w:r>
      <w:r w:rsidR="002E2981" w:rsidRPr="009A31BA">
        <w:rPr>
          <w:rFonts w:ascii="Times New Roman" w:eastAsia="宋体" w:hAnsi="Times New Roman" w:cs="Times New Roman"/>
          <w:color w:val="000000" w:themeColor="text1"/>
          <w:sz w:val="24"/>
        </w:rPr>
        <w:t>）策略的安全性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，特别是在高危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VV-ECMO</w:t>
      </w:r>
      <w:r w:rsidR="002E2981" w:rsidRPr="009A31BA">
        <w:rPr>
          <w:rFonts w:ascii="Times New Roman" w:eastAsia="宋体" w:hAnsi="Times New Roman" w:cs="Times New Roman"/>
          <w:color w:val="000000" w:themeColor="text1"/>
          <w:sz w:val="24"/>
        </w:rPr>
        <w:t>患者中。标准的凝血检测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可能无法很好地</w:t>
      </w:r>
      <w:r w:rsidR="002E2981" w:rsidRPr="009A31BA">
        <w:rPr>
          <w:rFonts w:ascii="Times New Roman" w:eastAsia="宋体" w:hAnsi="Times New Roman" w:cs="Times New Roman"/>
          <w:color w:val="000000" w:themeColor="text1"/>
          <w:sz w:val="24"/>
        </w:rPr>
        <w:t>发现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ECMO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患者的</w:t>
      </w:r>
      <w:r w:rsidR="002E2981" w:rsidRPr="009A31BA">
        <w:rPr>
          <w:rFonts w:ascii="Times New Roman" w:eastAsia="宋体" w:hAnsi="Times New Roman" w:cs="Times New Roman"/>
          <w:color w:val="000000" w:themeColor="text1"/>
          <w:sz w:val="24"/>
        </w:rPr>
        <w:t>凝血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功能障碍。实际上，大多数研究并未发现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患者与</w:t>
      </w:r>
      <w:r w:rsidR="002E2981" w:rsidRPr="009A31BA">
        <w:rPr>
          <w:rFonts w:ascii="Times New Roman" w:eastAsia="宋体" w:hAnsi="Times New Roman" w:cs="Times New Roman"/>
          <w:color w:val="000000" w:themeColor="text1"/>
          <w:sz w:val="24"/>
        </w:rPr>
        <w:t>非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患者在</w:t>
      </w:r>
      <w:r w:rsidR="004C2AEF" w:rsidRPr="009A31BA">
        <w:rPr>
          <w:rFonts w:ascii="Times New Roman" w:eastAsia="宋体" w:hAnsi="Times New Roman" w:cs="Times New Roman"/>
          <w:color w:val="000000" w:themeColor="text1"/>
          <w:sz w:val="24"/>
        </w:rPr>
        <w:t>凝血检测结果中存在</w:t>
      </w:r>
      <w:r w:rsidR="00C8613A" w:rsidRPr="009A31BA">
        <w:rPr>
          <w:rFonts w:ascii="Times New Roman" w:eastAsia="宋体" w:hAnsi="Times New Roman" w:cs="Times New Roman"/>
          <w:color w:val="000000" w:themeColor="text1"/>
          <w:sz w:val="24"/>
        </w:rPr>
        <w:t>差异。</w:t>
      </w:r>
    </w:p>
    <w:p w14:paraId="5011B31F" w14:textId="77777777" w:rsidR="00CF63F7" w:rsidRPr="009A31BA" w:rsidRDefault="00CF63F7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</w:p>
    <w:tbl>
      <w:tblPr>
        <w:tblStyle w:val="a3"/>
        <w:tblW w:w="9889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111"/>
        <w:gridCol w:w="567"/>
      </w:tblGrid>
      <w:tr w:rsidR="008D2257" w:rsidRPr="009A31BA" w14:paraId="1AB1C37A" w14:textId="77777777" w:rsidTr="00CA750D">
        <w:trPr>
          <w:gridAfter w:val="1"/>
          <w:wAfter w:w="567" w:type="dxa"/>
        </w:trPr>
        <w:tc>
          <w:tcPr>
            <w:tcW w:w="9322" w:type="dxa"/>
            <w:gridSpan w:val="2"/>
            <w:tcBorders>
              <w:bottom w:val="single" w:sz="4" w:space="0" w:color="auto"/>
            </w:tcBorders>
          </w:tcPr>
          <w:p w14:paraId="2B7DF877" w14:textId="2D212EA7" w:rsidR="000E6F60" w:rsidRPr="009A31BA" w:rsidRDefault="008D2257" w:rsidP="009A31BA">
            <w:pPr>
              <w:spacing w:line="360" w:lineRule="auto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表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2.</w:t>
            </w:r>
            <w:r w:rsidR="00786F7C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 xml:space="preserve"> 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提出预防和管理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ECMO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患者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ICH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的策略</w:t>
            </w:r>
          </w:p>
        </w:tc>
      </w:tr>
      <w:tr w:rsidR="00AB52A1" w:rsidRPr="009A31BA" w14:paraId="0CB32539" w14:textId="77777777" w:rsidTr="00CA750D">
        <w:tc>
          <w:tcPr>
            <w:tcW w:w="5211" w:type="dxa"/>
            <w:tcBorders>
              <w:top w:val="single" w:sz="4" w:space="0" w:color="auto"/>
            </w:tcBorders>
          </w:tcPr>
          <w:p w14:paraId="30A4D56B" w14:textId="77777777" w:rsidR="00AB52A1" w:rsidRPr="00CA750D" w:rsidRDefault="008D2257" w:rsidP="009A31BA">
            <w:pPr>
              <w:spacing w:line="360" w:lineRule="auto"/>
              <w:rPr>
                <w:rFonts w:ascii="Times New Roman" w:eastAsia="宋体" w:hAnsi="Times New Roman" w:cs="Times New Roman"/>
                <w:b/>
                <w:bCs/>
                <w:color w:val="000000" w:themeColor="text1"/>
                <w:sz w:val="24"/>
              </w:rPr>
            </w:pPr>
            <w:r w:rsidRPr="00CA750D">
              <w:rPr>
                <w:rFonts w:ascii="Times New Roman" w:eastAsia="宋体" w:hAnsi="Times New Roman" w:cs="Times New Roman" w:hint="eastAsia"/>
                <w:b/>
                <w:bCs/>
                <w:color w:val="000000" w:themeColor="text1"/>
                <w:sz w:val="24"/>
              </w:rPr>
              <w:t>预防措施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</w:tcBorders>
          </w:tcPr>
          <w:p w14:paraId="3E9C4941" w14:textId="77777777" w:rsidR="00AB52A1" w:rsidRPr="00CA750D" w:rsidRDefault="008D2257" w:rsidP="009A31BA">
            <w:pPr>
              <w:spacing w:line="360" w:lineRule="auto"/>
              <w:rPr>
                <w:rFonts w:ascii="Times New Roman" w:eastAsia="宋体" w:hAnsi="Times New Roman" w:cs="Times New Roman"/>
                <w:b/>
                <w:bCs/>
                <w:color w:val="000000" w:themeColor="text1"/>
                <w:sz w:val="24"/>
              </w:rPr>
            </w:pPr>
            <w:r w:rsidRPr="00CA750D">
              <w:rPr>
                <w:rFonts w:ascii="Times New Roman" w:eastAsia="宋体" w:hAnsi="Times New Roman" w:cs="Times New Roman" w:hint="eastAsia"/>
                <w:b/>
                <w:bCs/>
                <w:color w:val="000000" w:themeColor="text1"/>
                <w:sz w:val="24"/>
              </w:rPr>
              <w:t>管理策略</w:t>
            </w:r>
          </w:p>
        </w:tc>
      </w:tr>
      <w:tr w:rsidR="00A37550" w:rsidRPr="009A31BA" w14:paraId="49006A89" w14:textId="77777777" w:rsidTr="00CA750D">
        <w:trPr>
          <w:trHeight w:val="7120"/>
        </w:trPr>
        <w:tc>
          <w:tcPr>
            <w:tcW w:w="5211" w:type="dxa"/>
            <w:tcBorders>
              <w:top w:val="single" w:sz="4" w:space="0" w:color="auto"/>
            </w:tcBorders>
          </w:tcPr>
          <w:p w14:paraId="4FA7B0AE" w14:textId="77777777" w:rsidR="00A37550" w:rsidRPr="009A31BA" w:rsidRDefault="00A37550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VA-ECMO</w:t>
            </w:r>
            <w:r w:rsidR="000E6F6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中避免在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动脉粥样硬化</w:t>
            </w:r>
            <w:r w:rsidR="000E6F6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的血管中进行插管</w:t>
            </w:r>
          </w:p>
          <w:p w14:paraId="6F31ED28" w14:textId="77777777" w:rsidR="00A37550" w:rsidRPr="009A31BA" w:rsidRDefault="00BC257E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对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患者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进行危险分层</w:t>
            </w:r>
          </w:p>
          <w:p w14:paraId="69641196" w14:textId="77777777" w:rsidR="00BC257E" w:rsidRPr="009A31BA" w:rsidRDefault="00A37550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考虑在高</w:t>
            </w:r>
            <w:r w:rsidR="00BC257E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风险患者中降低基于体重的起始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肝素</w:t>
            </w:r>
            <w:r w:rsidR="00BC257E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使用剂量</w:t>
            </w:r>
          </w:p>
          <w:p w14:paraId="3F03A3A6" w14:textId="77777777" w:rsidR="00A37550" w:rsidRPr="009A31BA" w:rsidRDefault="00A37550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考虑</w:t>
            </w:r>
            <w:proofErr w:type="gramStart"/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早期脑</w:t>
            </w:r>
            <w:proofErr w:type="gramEnd"/>
            <w:r w:rsidR="00BC257E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CT</w:t>
            </w:r>
            <w:r w:rsidR="00BC257E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筛查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，特别是高危人群</w:t>
            </w:r>
          </w:p>
          <w:p w14:paraId="09A9F053" w14:textId="77777777" w:rsidR="00A37550" w:rsidRPr="009A31BA" w:rsidRDefault="00A37550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应用抗凝方案，</w:t>
            </w:r>
            <w:r w:rsidR="00BC257E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密切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监测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FBC</w:t>
            </w:r>
            <w:r w:rsidR="00BC257E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和多峰凝血谱</w:t>
            </w:r>
          </w:p>
          <w:p w14:paraId="57754B89" w14:textId="77777777" w:rsidR="00A37550" w:rsidRPr="009A31BA" w:rsidRDefault="00BC257E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考虑使用低抗凝目标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，尤其是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VV-ECMO</w:t>
            </w:r>
          </w:p>
          <w:p w14:paraId="49DFA721" w14:textId="77777777" w:rsidR="00A37550" w:rsidRPr="009A31BA" w:rsidRDefault="00661213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考虑监测血浆游离血红蛋白</w:t>
            </w:r>
          </w:p>
          <w:p w14:paraId="241B6718" w14:textId="77777777" w:rsidR="00A37550" w:rsidRPr="009A31BA" w:rsidRDefault="00A37550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考虑血小板输</w:t>
            </w:r>
            <w:proofErr w:type="gramStart"/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注维持</w:t>
            </w:r>
            <w:proofErr w:type="gramEnd"/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血小板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&gt; 80</w:t>
            </w:r>
            <w:r w:rsidR="00661213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,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000</w:t>
            </w:r>
            <w:r w:rsidR="00661213" w:rsidRPr="009A31BA">
              <w:rPr>
                <w:rFonts w:ascii="Times New Roman" w:eastAsia="宋体" w:hAnsi="Times New Roman" w:cs="Times New Roman"/>
                <w:sz w:val="24"/>
              </w:rPr>
              <w:t xml:space="preserve"> </w:t>
            </w:r>
            <w:r w:rsidR="00661213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/</w:t>
            </w:r>
            <w:proofErr w:type="spellStart"/>
            <w:r w:rsidR="00661213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μL</w:t>
            </w:r>
            <w:proofErr w:type="spellEnd"/>
          </w:p>
          <w:p w14:paraId="4A4ECFD8" w14:textId="77777777" w:rsidR="00A37550" w:rsidRPr="009A31BA" w:rsidRDefault="002A4338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通过采用</w:t>
            </w:r>
            <w:proofErr w:type="gramStart"/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初</w:t>
            </w:r>
            <w:r w:rsidR="00661213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始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低</w:t>
            </w:r>
            <w:proofErr w:type="gramEnd"/>
            <w:r w:rsidR="00661213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气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流量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策略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避免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ECMO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启动时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PaCO2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的快速变化</w:t>
            </w:r>
          </w:p>
          <w:p w14:paraId="4C88804A" w14:textId="77777777" w:rsidR="00A37550" w:rsidRPr="009A31BA" w:rsidRDefault="00A37550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目标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PaO2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在</w:t>
            </w:r>
            <w:r w:rsidR="002A4338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60- 100mmH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g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之间</w:t>
            </w:r>
          </w:p>
          <w:p w14:paraId="2BAE6329" w14:textId="77777777" w:rsidR="00A37550" w:rsidRPr="009A31BA" w:rsidRDefault="00A37550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考虑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NIRS</w:t>
            </w:r>
            <w:r w:rsidR="002A4338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监测</w:t>
            </w:r>
          </w:p>
          <w:p w14:paraId="5C1EF249" w14:textId="77777777" w:rsidR="00A37550" w:rsidRPr="009A31BA" w:rsidRDefault="00A37550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限制</w:t>
            </w:r>
            <w:r w:rsidR="002A4338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泵速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</w:tcBorders>
          </w:tcPr>
          <w:p w14:paraId="2A41C4EB" w14:textId="77777777" w:rsidR="000E6F60" w:rsidRPr="009A31BA" w:rsidRDefault="008F447E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判断预后、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重新评估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护理目标</w:t>
            </w:r>
          </w:p>
          <w:p w14:paraId="382C4283" w14:textId="77777777" w:rsidR="00A37550" w:rsidRPr="009A31BA" w:rsidRDefault="00A37550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制定神经保护措施</w:t>
            </w:r>
          </w:p>
          <w:p w14:paraId="15007EF3" w14:textId="77777777" w:rsidR="00A37550" w:rsidRPr="009A31BA" w:rsidRDefault="00BC257E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考虑中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止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ECMO</w:t>
            </w:r>
          </w:p>
          <w:p w14:paraId="4F12DE35" w14:textId="77777777" w:rsidR="00A37550" w:rsidRPr="009A31BA" w:rsidRDefault="00BC257E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考虑停用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抗凝或降低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抗凝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目标</w:t>
            </w:r>
          </w:p>
          <w:p w14:paraId="21E37E5B" w14:textId="77777777" w:rsidR="00A37550" w:rsidRPr="009A31BA" w:rsidRDefault="002A4338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输</w:t>
            </w:r>
            <w:proofErr w:type="gramStart"/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注适当</w:t>
            </w:r>
            <w:proofErr w:type="gramEnd"/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的血液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品将血红蛋白、血小板、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INR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和纤维蛋白原维持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到正常范围</w:t>
            </w:r>
          </w:p>
          <w:p w14:paraId="2F734080" w14:textId="77777777" w:rsidR="00A37550" w:rsidRPr="009A31BA" w:rsidRDefault="00A37550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考虑输注血小板</w:t>
            </w:r>
          </w:p>
          <w:p w14:paraId="737E475D" w14:textId="77777777" w:rsidR="00A37550" w:rsidRPr="009A31BA" w:rsidRDefault="00A37550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如有可能，考虑使用</w:t>
            </w:r>
            <w:r w:rsidR="002A4338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Von Willebrand</w:t>
            </w:r>
            <w:r w:rsidR="002A4338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（血友病因子）浓缩因子</w:t>
            </w: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。</w:t>
            </w:r>
          </w:p>
          <w:p w14:paraId="4E84A4F5" w14:textId="77777777" w:rsidR="00A37550" w:rsidRPr="009A31BA" w:rsidRDefault="00A37550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考虑使用去氨加压素</w:t>
            </w:r>
          </w:p>
          <w:p w14:paraId="51B933AE" w14:textId="77777777" w:rsidR="00A37550" w:rsidRPr="009A31BA" w:rsidRDefault="002A4338" w:rsidP="009A31BA">
            <w:pPr>
              <w:pStyle w:val="a4"/>
              <w:numPr>
                <w:ilvl w:val="0"/>
                <w:numId w:val="1"/>
              </w:numPr>
              <w:spacing w:line="360" w:lineRule="auto"/>
              <w:ind w:firstLineChars="0"/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</w:pPr>
            <w:r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考虑使用</w:t>
            </w:r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抗</w:t>
            </w:r>
            <w:proofErr w:type="gramStart"/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纤</w:t>
            </w:r>
            <w:proofErr w:type="gramEnd"/>
            <w:r w:rsidR="00A37550" w:rsidRPr="009A31BA">
              <w:rPr>
                <w:rFonts w:ascii="Times New Roman" w:eastAsia="宋体" w:hAnsi="Times New Roman" w:cs="Times New Roman"/>
                <w:color w:val="000000" w:themeColor="text1"/>
                <w:sz w:val="24"/>
              </w:rPr>
              <w:t>溶药</w:t>
            </w:r>
          </w:p>
        </w:tc>
      </w:tr>
    </w:tbl>
    <w:p w14:paraId="3003D8D2" w14:textId="77777777" w:rsidR="00AB52A1" w:rsidRPr="009A31BA" w:rsidRDefault="00AB52A1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1EA1BBF8" w14:textId="77777777" w:rsidR="002A17B9" w:rsidRPr="00CA750D" w:rsidRDefault="002A17B9" w:rsidP="009A31BA">
      <w:pPr>
        <w:spacing w:line="360" w:lineRule="auto"/>
        <w:rPr>
          <w:rFonts w:ascii="Times New Roman" w:eastAsia="宋体" w:hAnsi="Times New Roman" w:cs="Times New Roman"/>
          <w:b/>
          <w:color w:val="000000" w:themeColor="text1"/>
          <w:sz w:val="28"/>
          <w:szCs w:val="28"/>
        </w:rPr>
      </w:pPr>
      <w:r w:rsidRPr="00CA750D"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lastRenderedPageBreak/>
        <w:t>管理</w:t>
      </w:r>
    </w:p>
    <w:p w14:paraId="5EB97072" w14:textId="6D079A7A" w:rsidR="002A17B9" w:rsidRPr="009A31BA" w:rsidRDefault="00AF6069" w:rsidP="00CA750D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</w:rPr>
      </w:pP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确诊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ICH</w:t>
      </w:r>
      <w:r w:rsidR="00353E85">
        <w:rPr>
          <w:rFonts w:ascii="Times New Roman" w:eastAsia="宋体" w:hAnsi="Times New Roman" w:cs="Times New Roman"/>
          <w:color w:val="000000" w:themeColor="text1"/>
          <w:sz w:val="24"/>
        </w:rPr>
        <w:t>后，重要的是判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定患者的预后，并在必要时重新评估与家人的护理目标。应尽快制定标准的神经保护措施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(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正常血糖、正常血糖等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)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。如有高血压，应保守治疗。虽然这些患者中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75-80%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的死亡率与外科干预有关，不过，在适当的时候，还是应寻求神经外科的意见。除此之外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，应尽可能考虑</w:t>
      </w:r>
      <w:r w:rsidR="00412845">
        <w:rPr>
          <w:rFonts w:ascii="Times New Roman" w:eastAsia="宋体" w:hAnsi="Times New Roman" w:cs="Times New Roman"/>
          <w:color w:val="000000" w:themeColor="text1"/>
          <w:sz w:val="24"/>
        </w:rPr>
        <w:t>暂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停</w:t>
      </w:r>
      <w:proofErr w:type="gramStart"/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止</w:t>
      </w:r>
      <w:proofErr w:type="gramEnd"/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抗凝治疗。在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VV-ECMO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患者中，可以安全地长期进行，并有较好的临床结果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。在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VA-ECMO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中，管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路血栓形成的后果更为重要，应仔细权衡持续抗凝的风险。临床医生还可以选择降低抗凝参数。血红蛋白，血小板，国际标准化比率（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INR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）和纤维蛋白原如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异常，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应予以纠正。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 xml:space="preserve"> ECMO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患者常见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AT3</w:t>
      </w:r>
      <w:r w:rsidRPr="009A31BA">
        <w:rPr>
          <w:rFonts w:ascii="Times New Roman" w:eastAsia="宋体" w:hAnsi="Times New Roman" w:cs="Times New Roman"/>
          <w:color w:val="000000" w:themeColor="text1"/>
          <w:sz w:val="24"/>
        </w:rPr>
        <w:t>缺乏症，导致肝素耐药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。</w:t>
      </w:r>
      <w:r w:rsidR="0043759A" w:rsidRPr="009A31BA">
        <w:rPr>
          <w:rFonts w:ascii="Times New Roman" w:eastAsia="宋体" w:hAnsi="Times New Roman" w:cs="Times New Roman"/>
          <w:color w:val="000000" w:themeColor="text1"/>
          <w:sz w:val="24"/>
        </w:rPr>
        <w:t>矛盾的是，如果此时给予新鲜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冷冻血浆（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FFP</w:t>
      </w:r>
      <w:r w:rsidR="0043759A" w:rsidRPr="009A31BA">
        <w:rPr>
          <w:rFonts w:ascii="Times New Roman" w:eastAsia="宋体" w:hAnsi="Times New Roman" w:cs="Times New Roman"/>
          <w:color w:val="000000" w:themeColor="text1"/>
          <w:sz w:val="24"/>
        </w:rPr>
        <w:t>）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可能反而会增加</w:t>
      </w:r>
      <w:r w:rsidR="0043759A" w:rsidRPr="009A31BA">
        <w:rPr>
          <w:rFonts w:ascii="Times New Roman" w:eastAsia="宋体" w:hAnsi="Times New Roman" w:cs="Times New Roman"/>
          <w:color w:val="000000" w:themeColor="text1"/>
          <w:sz w:val="24"/>
        </w:rPr>
        <w:t>这些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AT III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缺乏</w:t>
      </w:r>
      <w:r w:rsidR="0043759A" w:rsidRPr="009A31BA">
        <w:rPr>
          <w:rFonts w:ascii="Times New Roman" w:eastAsia="宋体" w:hAnsi="Times New Roman" w:cs="Times New Roman"/>
          <w:color w:val="000000" w:themeColor="text1"/>
          <w:sz w:val="24"/>
        </w:rPr>
        <w:t>患者的出血，因为</w:t>
      </w:r>
      <w:proofErr w:type="gramStart"/>
      <w:r w:rsidR="0043759A" w:rsidRPr="009A31BA">
        <w:rPr>
          <w:rFonts w:ascii="Times New Roman" w:eastAsia="宋体" w:hAnsi="Times New Roman" w:cs="Times New Roman"/>
          <w:color w:val="000000" w:themeColor="text1"/>
          <w:sz w:val="24"/>
        </w:rPr>
        <w:t>血流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仍存在</w:t>
      </w:r>
      <w:proofErr w:type="gramEnd"/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高浓度的肝素。将抗凝血酶恢复至正常水平可以增强肝素的作用。一些作者建议输注血小板，而不考虑血小板计数，</w:t>
      </w:r>
      <w:r w:rsidR="0043759A" w:rsidRPr="009A31BA">
        <w:rPr>
          <w:rFonts w:ascii="Times New Roman" w:eastAsia="宋体" w:hAnsi="Times New Roman" w:cs="Times New Roman"/>
          <w:color w:val="000000" w:themeColor="text1"/>
          <w:sz w:val="24"/>
        </w:rPr>
        <w:t>是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因为可能存</w:t>
      </w:r>
      <w:r w:rsidR="0043759A" w:rsidRPr="009A31BA">
        <w:rPr>
          <w:rFonts w:ascii="Times New Roman" w:eastAsia="宋体" w:hAnsi="Times New Roman" w:cs="Times New Roman"/>
          <w:color w:val="000000" w:themeColor="text1"/>
          <w:sz w:val="24"/>
        </w:rPr>
        <w:t>在血小板功能障碍。尽管成人的数据有限，但临床医生可以还应考虑给予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抗</w:t>
      </w:r>
      <w:proofErr w:type="gramStart"/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纤</w:t>
      </w:r>
      <w:proofErr w:type="gramEnd"/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溶药物，尤其是当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TEG</w:t>
      </w:r>
      <w:r w:rsidR="0043759A" w:rsidRPr="009A31BA">
        <w:rPr>
          <w:rFonts w:ascii="Times New Roman" w:eastAsia="宋体" w:hAnsi="Times New Roman" w:cs="Times New Roman"/>
          <w:color w:val="000000" w:themeColor="text1"/>
          <w:sz w:val="24"/>
        </w:rPr>
        <w:t>提示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高</w:t>
      </w:r>
      <w:proofErr w:type="gramStart"/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纤溶</w:t>
      </w:r>
      <w:r w:rsidR="0043759A" w:rsidRPr="009A31BA">
        <w:rPr>
          <w:rFonts w:ascii="Times New Roman" w:eastAsia="宋体" w:hAnsi="Times New Roman" w:cs="Times New Roman"/>
          <w:color w:val="000000" w:themeColor="text1"/>
          <w:sz w:val="24"/>
        </w:rPr>
        <w:t>状态</w:t>
      </w:r>
      <w:proofErr w:type="gramEnd"/>
      <w:r w:rsidR="0043759A" w:rsidRPr="009A31BA">
        <w:rPr>
          <w:rFonts w:ascii="Times New Roman" w:eastAsia="宋体" w:hAnsi="Times New Roman" w:cs="Times New Roman"/>
          <w:color w:val="000000" w:themeColor="text1"/>
          <w:sz w:val="24"/>
        </w:rPr>
        <w:t>时</w:t>
      </w:r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。一些作者还建议使用</w:t>
      </w:r>
      <w:proofErr w:type="spellStart"/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vWF</w:t>
      </w:r>
      <w:proofErr w:type="spellEnd"/>
      <w:r w:rsidR="002A17B9" w:rsidRPr="009A31BA">
        <w:rPr>
          <w:rFonts w:ascii="Times New Roman" w:eastAsia="宋体" w:hAnsi="Times New Roman" w:cs="Times New Roman"/>
          <w:color w:val="000000" w:themeColor="text1"/>
          <w:sz w:val="24"/>
        </w:rPr>
        <w:t>浓缩物（如果可用）或去氨加压素。</w:t>
      </w:r>
    </w:p>
    <w:p w14:paraId="0B1BBFED" w14:textId="77777777" w:rsidR="002A17B9" w:rsidRPr="009A31BA" w:rsidRDefault="002A17B9" w:rsidP="009A31BA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</w:rPr>
      </w:pPr>
    </w:p>
    <w:p w14:paraId="429E99E6" w14:textId="77777777" w:rsidR="0062541B" w:rsidRPr="00CA750D" w:rsidRDefault="0062541B" w:rsidP="009A31BA">
      <w:pPr>
        <w:spacing w:line="360" w:lineRule="auto"/>
        <w:rPr>
          <w:rFonts w:ascii="Times New Roman" w:eastAsia="宋体" w:hAnsi="Times New Roman" w:cs="Times New Roman"/>
          <w:b/>
          <w:color w:val="000000" w:themeColor="text1"/>
          <w:sz w:val="28"/>
          <w:szCs w:val="28"/>
        </w:rPr>
      </w:pPr>
      <w:r w:rsidRPr="00CA750D"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t>结论</w:t>
      </w:r>
    </w:p>
    <w:p w14:paraId="398346A6" w14:textId="3FE77D47" w:rsidR="0062541B" w:rsidRPr="009A31BA" w:rsidRDefault="0062541B" w:rsidP="00CA750D">
      <w:pPr>
        <w:pStyle w:val="a7"/>
        <w:spacing w:before="0" w:beforeAutospacing="0" w:after="0" w:afterAutospacing="0" w:line="360" w:lineRule="auto"/>
        <w:ind w:firstLineChars="200" w:firstLine="480"/>
        <w:jc w:val="both"/>
      </w:pPr>
      <w:r w:rsidRPr="009A31BA">
        <w:rPr>
          <w:rFonts w:ascii="Times New Roman" w:hAnsi="Times New Roman" w:cs="Times New Roman"/>
          <w:color w:val="000000" w:themeColor="text1"/>
        </w:rPr>
        <w:t>我们在文献中发现</w:t>
      </w:r>
      <w:r w:rsidRPr="009A31BA">
        <w:rPr>
          <w:rFonts w:ascii="Times New Roman" w:hAnsi="Times New Roman" w:cs="Times New Roman"/>
          <w:color w:val="000000" w:themeColor="text1"/>
        </w:rPr>
        <w:t>ICH</w:t>
      </w:r>
      <w:r w:rsidRPr="009A31BA">
        <w:rPr>
          <w:rFonts w:ascii="Times New Roman" w:hAnsi="Times New Roman" w:cs="Times New Roman"/>
          <w:color w:val="000000" w:themeColor="text1"/>
        </w:rPr>
        <w:t>的发生率很高，预后很差。最佳的抗凝策略仍不确定。由于</w:t>
      </w:r>
      <w:r w:rsidRPr="009A31BA">
        <w:rPr>
          <w:rFonts w:ascii="Times New Roman" w:hAnsi="Times New Roman" w:cs="Times New Roman"/>
          <w:color w:val="000000" w:themeColor="text1"/>
        </w:rPr>
        <w:t>ECMO</w:t>
      </w:r>
      <w:r w:rsidRPr="009A31BA">
        <w:rPr>
          <w:rFonts w:ascii="Times New Roman" w:hAnsi="Times New Roman" w:cs="Times New Roman"/>
          <w:color w:val="000000" w:themeColor="text1"/>
        </w:rPr>
        <w:t>患者的血小板功能障碍和耗竭在</w:t>
      </w:r>
      <w:r w:rsidRPr="009A31BA">
        <w:rPr>
          <w:rFonts w:ascii="Times New Roman" w:hAnsi="Times New Roman" w:cs="Times New Roman"/>
          <w:color w:val="000000" w:themeColor="text1"/>
        </w:rPr>
        <w:t>ICH</w:t>
      </w:r>
      <w:r w:rsidRPr="009A31BA">
        <w:rPr>
          <w:rFonts w:ascii="Times New Roman" w:hAnsi="Times New Roman" w:cs="Times New Roman"/>
          <w:color w:val="000000" w:themeColor="text1"/>
        </w:rPr>
        <w:t>的发病机制中似乎起着重要作用，因此建议采用</w:t>
      </w:r>
      <w:r w:rsidR="00CF63F7">
        <w:rPr>
          <w:rFonts w:ascii="Times New Roman" w:hAnsi="Times New Roman" w:cs="Times New Roman" w:hint="eastAsia"/>
          <w:color w:val="000000" w:themeColor="text1"/>
        </w:rPr>
        <w:t>开放性</w:t>
      </w:r>
      <w:r w:rsidRPr="009A31BA">
        <w:rPr>
          <w:rFonts w:ascii="Times New Roman" w:hAnsi="Times New Roman" w:cs="Times New Roman"/>
          <w:color w:val="000000" w:themeColor="text1"/>
        </w:rPr>
        <w:t>血小板输注策略。常规的神经系统检查和及时的</w:t>
      </w:r>
      <w:r w:rsidRPr="009A31BA">
        <w:rPr>
          <w:rFonts w:ascii="Times New Roman" w:hAnsi="Times New Roman" w:cs="Times New Roman"/>
          <w:color w:val="000000" w:themeColor="text1"/>
        </w:rPr>
        <w:t>CT</w:t>
      </w:r>
      <w:r w:rsidR="0043759A" w:rsidRPr="009A31BA">
        <w:rPr>
          <w:rFonts w:ascii="Times New Roman" w:hAnsi="Times New Roman" w:cs="Times New Roman"/>
          <w:color w:val="000000" w:themeColor="text1"/>
        </w:rPr>
        <w:t>诊断非常重要，因为尽早采取干预</w:t>
      </w:r>
      <w:proofErr w:type="gramStart"/>
      <w:r w:rsidRPr="009A31BA">
        <w:rPr>
          <w:rFonts w:ascii="Times New Roman" w:hAnsi="Times New Roman" w:cs="Times New Roman"/>
          <w:color w:val="000000" w:themeColor="text1"/>
        </w:rPr>
        <w:t>施限制</w:t>
      </w:r>
      <w:proofErr w:type="gramEnd"/>
      <w:r w:rsidRPr="009A31BA">
        <w:rPr>
          <w:rFonts w:ascii="Times New Roman" w:hAnsi="Times New Roman" w:cs="Times New Roman"/>
          <w:color w:val="000000" w:themeColor="text1"/>
        </w:rPr>
        <w:t>血肿扩大和</w:t>
      </w:r>
      <w:proofErr w:type="gramStart"/>
      <w:r w:rsidRPr="009A31BA">
        <w:rPr>
          <w:rFonts w:ascii="Times New Roman" w:hAnsi="Times New Roman" w:cs="Times New Roman"/>
          <w:color w:val="000000" w:themeColor="text1"/>
        </w:rPr>
        <w:t>继发</w:t>
      </w:r>
      <w:proofErr w:type="gramEnd"/>
      <w:r w:rsidRPr="009A31BA">
        <w:rPr>
          <w:rFonts w:ascii="Times New Roman" w:hAnsi="Times New Roman" w:cs="Times New Roman"/>
          <w:color w:val="000000" w:themeColor="text1"/>
        </w:rPr>
        <w:t>性神经系统损伤最为有</w:t>
      </w:r>
      <w:r w:rsidR="0043759A" w:rsidRPr="009A31BA">
        <w:rPr>
          <w:rFonts w:ascii="Times New Roman" w:hAnsi="Times New Roman" w:cs="Times New Roman"/>
          <w:color w:val="000000" w:themeColor="text1"/>
        </w:rPr>
        <w:t>效。</w:t>
      </w:r>
      <w:r w:rsidRPr="009A31BA">
        <w:rPr>
          <w:rFonts w:ascii="Times New Roman" w:hAnsi="Times New Roman" w:cs="Times New Roman"/>
          <w:color w:val="000000" w:themeColor="text1"/>
        </w:rPr>
        <w:t>ECMO</w:t>
      </w:r>
      <w:r w:rsidR="0043759A" w:rsidRPr="009A31BA">
        <w:rPr>
          <w:rFonts w:ascii="Times New Roman" w:hAnsi="Times New Roman" w:cs="Times New Roman"/>
          <w:color w:val="000000" w:themeColor="text1"/>
        </w:rPr>
        <w:t>患者</w:t>
      </w:r>
      <w:r w:rsidRPr="009A31BA">
        <w:rPr>
          <w:rFonts w:ascii="Times New Roman" w:hAnsi="Times New Roman" w:cs="Times New Roman"/>
          <w:color w:val="000000" w:themeColor="text1"/>
        </w:rPr>
        <w:t>可以安全地</w:t>
      </w:r>
      <w:r w:rsidR="0043759A" w:rsidRPr="009A31BA">
        <w:rPr>
          <w:rFonts w:ascii="Times New Roman" w:hAnsi="Times New Roman" w:cs="Times New Roman"/>
          <w:color w:val="000000" w:themeColor="text1"/>
        </w:rPr>
        <w:t>转运</w:t>
      </w:r>
      <w:r w:rsidRPr="009A31BA">
        <w:rPr>
          <w:rFonts w:ascii="Times New Roman" w:hAnsi="Times New Roman" w:cs="Times New Roman"/>
          <w:color w:val="000000" w:themeColor="text1"/>
        </w:rPr>
        <w:t>送到放射科。在</w:t>
      </w:r>
      <w:r w:rsidRPr="009A31BA">
        <w:rPr>
          <w:rFonts w:ascii="Times New Roman" w:hAnsi="Times New Roman" w:cs="Times New Roman"/>
          <w:color w:val="000000" w:themeColor="text1"/>
        </w:rPr>
        <w:t>VV-ECMO</w:t>
      </w:r>
      <w:r w:rsidR="0043759A" w:rsidRPr="009A31BA">
        <w:rPr>
          <w:rFonts w:ascii="Times New Roman" w:hAnsi="Times New Roman" w:cs="Times New Roman"/>
          <w:color w:val="000000" w:themeColor="text1"/>
        </w:rPr>
        <w:t>患者中暂停</w:t>
      </w:r>
      <w:r w:rsidRPr="009A31BA">
        <w:rPr>
          <w:rFonts w:ascii="Times New Roman" w:hAnsi="Times New Roman" w:cs="Times New Roman"/>
          <w:color w:val="000000" w:themeColor="text1"/>
        </w:rPr>
        <w:t>抗凝治疗</w:t>
      </w:r>
      <w:r w:rsidR="0043759A" w:rsidRPr="009A31BA">
        <w:rPr>
          <w:rFonts w:ascii="Times New Roman" w:hAnsi="Times New Roman" w:cs="Times New Roman"/>
          <w:color w:val="000000" w:themeColor="text1"/>
        </w:rPr>
        <w:t>是安全有效的</w:t>
      </w:r>
      <w:r w:rsidRPr="009A31BA">
        <w:rPr>
          <w:rFonts w:ascii="Times New Roman" w:hAnsi="Times New Roman" w:cs="Times New Roman"/>
          <w:color w:val="000000" w:themeColor="text1"/>
        </w:rPr>
        <w:t>，可改善</w:t>
      </w:r>
      <w:r w:rsidRPr="009A31BA">
        <w:rPr>
          <w:rFonts w:ascii="Times New Roman" w:hAnsi="Times New Roman" w:cs="Times New Roman"/>
          <w:color w:val="000000" w:themeColor="text1"/>
        </w:rPr>
        <w:t>ICH</w:t>
      </w:r>
      <w:r w:rsidRPr="009A31BA">
        <w:rPr>
          <w:rFonts w:ascii="Times New Roman" w:hAnsi="Times New Roman" w:cs="Times New Roman"/>
          <w:color w:val="000000" w:themeColor="text1"/>
        </w:rPr>
        <w:t>的预后。</w:t>
      </w:r>
      <w:r w:rsidR="009C2B5D" w:rsidRPr="009A31BA">
        <w:rPr>
          <w:rFonts w:ascii="Times New Roman" w:hAnsi="Times New Roman" w:cs="Times New Roman"/>
          <w:spacing w:val="15"/>
          <w:szCs w:val="23"/>
        </w:rPr>
        <w:t>降低</w:t>
      </w:r>
      <w:r w:rsidR="009C2B5D" w:rsidRPr="009A31BA">
        <w:rPr>
          <w:rFonts w:ascii="Times New Roman" w:hAnsi="Times New Roman" w:cs="Times New Roman"/>
          <w:spacing w:val="15"/>
          <w:szCs w:val="23"/>
        </w:rPr>
        <w:t>ICH</w:t>
      </w:r>
      <w:r w:rsidR="009C2B5D" w:rsidRPr="009A31BA">
        <w:rPr>
          <w:rFonts w:ascii="Times New Roman" w:hAnsi="Times New Roman" w:cs="Times New Roman"/>
          <w:spacing w:val="15"/>
          <w:szCs w:val="23"/>
        </w:rPr>
        <w:t>风险，改善预后的</w:t>
      </w:r>
      <w:proofErr w:type="gramStart"/>
      <w:r w:rsidR="009C2B5D" w:rsidRPr="009A31BA">
        <w:rPr>
          <w:rFonts w:ascii="Times New Roman" w:hAnsi="Times New Roman" w:cs="Times New Roman"/>
          <w:spacing w:val="15"/>
          <w:szCs w:val="23"/>
        </w:rPr>
        <w:t>最佳管理</w:t>
      </w:r>
      <w:proofErr w:type="gramEnd"/>
      <w:r w:rsidR="009C2B5D" w:rsidRPr="009A31BA">
        <w:rPr>
          <w:rFonts w:ascii="Times New Roman" w:hAnsi="Times New Roman" w:cs="Times New Roman"/>
          <w:spacing w:val="15"/>
          <w:szCs w:val="23"/>
        </w:rPr>
        <w:t>策略有待进一步研究。</w:t>
      </w:r>
    </w:p>
    <w:sectPr w:rsidR="0062541B" w:rsidRPr="009A31BA" w:rsidSect="005B1C21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A85AC3"/>
    <w:multiLevelType w:val="hybridMultilevel"/>
    <w:tmpl w:val="73E22D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3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KY_MEDREF_DOCUID" w:val="{0E9D1C75-E3D4-4BAE-98F8-C1E73F92137E}"/>
    <w:docVar w:name="KY_MEDREF_VERSION" w:val="3"/>
  </w:docVars>
  <w:rsids>
    <w:rsidRoot w:val="00A05870"/>
    <w:rsid w:val="00015850"/>
    <w:rsid w:val="00031895"/>
    <w:rsid w:val="0004122B"/>
    <w:rsid w:val="0004652B"/>
    <w:rsid w:val="00063859"/>
    <w:rsid w:val="000704EC"/>
    <w:rsid w:val="0007223A"/>
    <w:rsid w:val="0008762F"/>
    <w:rsid w:val="000A0F23"/>
    <w:rsid w:val="000A5A7E"/>
    <w:rsid w:val="000A683C"/>
    <w:rsid w:val="000C55C9"/>
    <w:rsid w:val="000D16C1"/>
    <w:rsid w:val="000E5B23"/>
    <w:rsid w:val="000E6F60"/>
    <w:rsid w:val="000F3056"/>
    <w:rsid w:val="000F488D"/>
    <w:rsid w:val="00101FE4"/>
    <w:rsid w:val="001148BB"/>
    <w:rsid w:val="00121B42"/>
    <w:rsid w:val="00122550"/>
    <w:rsid w:val="001657A7"/>
    <w:rsid w:val="00174060"/>
    <w:rsid w:val="001A6408"/>
    <w:rsid w:val="001B3BAB"/>
    <w:rsid w:val="001D72FA"/>
    <w:rsid w:val="0020564F"/>
    <w:rsid w:val="0021480C"/>
    <w:rsid w:val="002314D9"/>
    <w:rsid w:val="00243385"/>
    <w:rsid w:val="00250113"/>
    <w:rsid w:val="00261C04"/>
    <w:rsid w:val="00275C3C"/>
    <w:rsid w:val="00295012"/>
    <w:rsid w:val="002A17B9"/>
    <w:rsid w:val="002A4338"/>
    <w:rsid w:val="002A791C"/>
    <w:rsid w:val="002C046D"/>
    <w:rsid w:val="002D69A4"/>
    <w:rsid w:val="002E2981"/>
    <w:rsid w:val="002E4B3F"/>
    <w:rsid w:val="002E6F41"/>
    <w:rsid w:val="00304E38"/>
    <w:rsid w:val="0030512A"/>
    <w:rsid w:val="003253A9"/>
    <w:rsid w:val="0032596A"/>
    <w:rsid w:val="00326887"/>
    <w:rsid w:val="00340A5D"/>
    <w:rsid w:val="00353E85"/>
    <w:rsid w:val="0037224F"/>
    <w:rsid w:val="00382B6E"/>
    <w:rsid w:val="00383C44"/>
    <w:rsid w:val="00390B54"/>
    <w:rsid w:val="00391CCA"/>
    <w:rsid w:val="00392347"/>
    <w:rsid w:val="0039290C"/>
    <w:rsid w:val="00396641"/>
    <w:rsid w:val="003A1F8D"/>
    <w:rsid w:val="003B1D77"/>
    <w:rsid w:val="003D0829"/>
    <w:rsid w:val="003E2D4D"/>
    <w:rsid w:val="003E6C7A"/>
    <w:rsid w:val="003E7792"/>
    <w:rsid w:val="003F2A2F"/>
    <w:rsid w:val="00412845"/>
    <w:rsid w:val="00434AF8"/>
    <w:rsid w:val="0043759A"/>
    <w:rsid w:val="00440CBA"/>
    <w:rsid w:val="00480BB5"/>
    <w:rsid w:val="0048759F"/>
    <w:rsid w:val="004B6060"/>
    <w:rsid w:val="004C1086"/>
    <w:rsid w:val="004C2AEF"/>
    <w:rsid w:val="004C78CA"/>
    <w:rsid w:val="004E37E2"/>
    <w:rsid w:val="00501339"/>
    <w:rsid w:val="00522035"/>
    <w:rsid w:val="00535CB2"/>
    <w:rsid w:val="00553BE1"/>
    <w:rsid w:val="00584D0E"/>
    <w:rsid w:val="00590100"/>
    <w:rsid w:val="0059116D"/>
    <w:rsid w:val="00594B3C"/>
    <w:rsid w:val="005951A7"/>
    <w:rsid w:val="005B199C"/>
    <w:rsid w:val="005B1C21"/>
    <w:rsid w:val="005C5F99"/>
    <w:rsid w:val="005D1624"/>
    <w:rsid w:val="005F6373"/>
    <w:rsid w:val="0062469C"/>
    <w:rsid w:val="0062541B"/>
    <w:rsid w:val="00630090"/>
    <w:rsid w:val="0064517D"/>
    <w:rsid w:val="00657F49"/>
    <w:rsid w:val="00661213"/>
    <w:rsid w:val="006806A5"/>
    <w:rsid w:val="00683629"/>
    <w:rsid w:val="00687D64"/>
    <w:rsid w:val="006C2C25"/>
    <w:rsid w:val="006C3F86"/>
    <w:rsid w:val="006C69EE"/>
    <w:rsid w:val="006E642D"/>
    <w:rsid w:val="00732B9E"/>
    <w:rsid w:val="00755DE2"/>
    <w:rsid w:val="007634E3"/>
    <w:rsid w:val="00763DF7"/>
    <w:rsid w:val="00782859"/>
    <w:rsid w:val="00784543"/>
    <w:rsid w:val="00786F7C"/>
    <w:rsid w:val="0079294C"/>
    <w:rsid w:val="007A0C52"/>
    <w:rsid w:val="007A20D4"/>
    <w:rsid w:val="0080565E"/>
    <w:rsid w:val="008135BF"/>
    <w:rsid w:val="008446FF"/>
    <w:rsid w:val="00864775"/>
    <w:rsid w:val="008654A6"/>
    <w:rsid w:val="00870BA3"/>
    <w:rsid w:val="00883E88"/>
    <w:rsid w:val="00892DEF"/>
    <w:rsid w:val="008B028A"/>
    <w:rsid w:val="008D2257"/>
    <w:rsid w:val="008E4DBE"/>
    <w:rsid w:val="008F2914"/>
    <w:rsid w:val="008F447E"/>
    <w:rsid w:val="008F5FD9"/>
    <w:rsid w:val="008F7547"/>
    <w:rsid w:val="00921067"/>
    <w:rsid w:val="0092327E"/>
    <w:rsid w:val="00926D53"/>
    <w:rsid w:val="009354B6"/>
    <w:rsid w:val="00947703"/>
    <w:rsid w:val="00967CC0"/>
    <w:rsid w:val="00975191"/>
    <w:rsid w:val="009A31BA"/>
    <w:rsid w:val="009B6A33"/>
    <w:rsid w:val="009C0DCB"/>
    <w:rsid w:val="009C19F5"/>
    <w:rsid w:val="009C2B5D"/>
    <w:rsid w:val="009C2C4E"/>
    <w:rsid w:val="009E622E"/>
    <w:rsid w:val="009F35BA"/>
    <w:rsid w:val="00A0366C"/>
    <w:rsid w:val="00A05870"/>
    <w:rsid w:val="00A27493"/>
    <w:rsid w:val="00A3256D"/>
    <w:rsid w:val="00A3309B"/>
    <w:rsid w:val="00A33947"/>
    <w:rsid w:val="00A37550"/>
    <w:rsid w:val="00A37A2E"/>
    <w:rsid w:val="00A50EBA"/>
    <w:rsid w:val="00A55427"/>
    <w:rsid w:val="00A63B10"/>
    <w:rsid w:val="00A64ECA"/>
    <w:rsid w:val="00A67E4F"/>
    <w:rsid w:val="00A82981"/>
    <w:rsid w:val="00A84AC0"/>
    <w:rsid w:val="00A91CC6"/>
    <w:rsid w:val="00AA59E6"/>
    <w:rsid w:val="00AB116A"/>
    <w:rsid w:val="00AB52A1"/>
    <w:rsid w:val="00AC17B1"/>
    <w:rsid w:val="00AD4E83"/>
    <w:rsid w:val="00AF3AC5"/>
    <w:rsid w:val="00AF4228"/>
    <w:rsid w:val="00AF4B77"/>
    <w:rsid w:val="00AF6069"/>
    <w:rsid w:val="00B42AA3"/>
    <w:rsid w:val="00B435E5"/>
    <w:rsid w:val="00B511E9"/>
    <w:rsid w:val="00B70BA5"/>
    <w:rsid w:val="00B853D7"/>
    <w:rsid w:val="00BA37CF"/>
    <w:rsid w:val="00BB206E"/>
    <w:rsid w:val="00BB4331"/>
    <w:rsid w:val="00BC257E"/>
    <w:rsid w:val="00BE18E9"/>
    <w:rsid w:val="00BE43CE"/>
    <w:rsid w:val="00C114C3"/>
    <w:rsid w:val="00C27A38"/>
    <w:rsid w:val="00C31E3A"/>
    <w:rsid w:val="00C37AF6"/>
    <w:rsid w:val="00C51865"/>
    <w:rsid w:val="00C60458"/>
    <w:rsid w:val="00C82C0B"/>
    <w:rsid w:val="00C8613A"/>
    <w:rsid w:val="00CA5C1B"/>
    <w:rsid w:val="00CA6999"/>
    <w:rsid w:val="00CA750D"/>
    <w:rsid w:val="00CB51A4"/>
    <w:rsid w:val="00CD462D"/>
    <w:rsid w:val="00CF63F7"/>
    <w:rsid w:val="00CF77DC"/>
    <w:rsid w:val="00D1202A"/>
    <w:rsid w:val="00D24695"/>
    <w:rsid w:val="00D356F2"/>
    <w:rsid w:val="00D812A4"/>
    <w:rsid w:val="00D921B9"/>
    <w:rsid w:val="00D93BF6"/>
    <w:rsid w:val="00DA04BF"/>
    <w:rsid w:val="00DB31C2"/>
    <w:rsid w:val="00DB544A"/>
    <w:rsid w:val="00DE019A"/>
    <w:rsid w:val="00DE58FE"/>
    <w:rsid w:val="00DF4BEA"/>
    <w:rsid w:val="00E03423"/>
    <w:rsid w:val="00E06E65"/>
    <w:rsid w:val="00E06F1B"/>
    <w:rsid w:val="00E13751"/>
    <w:rsid w:val="00E16607"/>
    <w:rsid w:val="00E34D5A"/>
    <w:rsid w:val="00E450C7"/>
    <w:rsid w:val="00E61426"/>
    <w:rsid w:val="00E7107A"/>
    <w:rsid w:val="00EA194F"/>
    <w:rsid w:val="00EB549D"/>
    <w:rsid w:val="00EC31A4"/>
    <w:rsid w:val="00EC59B0"/>
    <w:rsid w:val="00ED6072"/>
    <w:rsid w:val="00EF0AC1"/>
    <w:rsid w:val="00EF6B5A"/>
    <w:rsid w:val="00F0100B"/>
    <w:rsid w:val="00F0597F"/>
    <w:rsid w:val="00F11CA2"/>
    <w:rsid w:val="00F165F2"/>
    <w:rsid w:val="00F35B7C"/>
    <w:rsid w:val="00F46C3F"/>
    <w:rsid w:val="00F52151"/>
    <w:rsid w:val="00F5639C"/>
    <w:rsid w:val="00F63750"/>
    <w:rsid w:val="00F827AC"/>
    <w:rsid w:val="00F91B18"/>
    <w:rsid w:val="00FC57DE"/>
    <w:rsid w:val="00FC7C6A"/>
    <w:rsid w:val="00FD2BED"/>
    <w:rsid w:val="00FE6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4F74AF"/>
  <w15:docId w15:val="{5583B312-EEC6-4448-8ADB-39D6159E8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04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51865"/>
    <w:pPr>
      <w:ind w:firstLineChars="200" w:firstLine="420"/>
    </w:pPr>
  </w:style>
  <w:style w:type="paragraph" w:styleId="a5">
    <w:name w:val="Balloon Text"/>
    <w:basedOn w:val="a"/>
    <w:link w:val="a6"/>
    <w:uiPriority w:val="99"/>
    <w:semiHidden/>
    <w:unhideWhenUsed/>
    <w:rsid w:val="0048759F"/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rsid w:val="0048759F"/>
    <w:rPr>
      <w:sz w:val="18"/>
      <w:szCs w:val="18"/>
    </w:rPr>
  </w:style>
  <w:style w:type="paragraph" w:styleId="a7">
    <w:name w:val="Normal (Web)"/>
    <w:basedOn w:val="a"/>
    <w:uiPriority w:val="99"/>
    <w:unhideWhenUsed/>
    <w:rsid w:val="009C2B5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402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44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42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274A6DC-ECA4-42C4-89BF-5493FFC7C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742</TotalTime>
  <Pages>6</Pages>
  <Words>585</Words>
  <Characters>3341</Characters>
  <Application>Microsoft Office Word</Application>
  <DocSecurity>0</DocSecurity>
  <Lines>27</Lines>
  <Paragraphs>7</Paragraphs>
  <ScaleCrop>false</ScaleCrop>
  <Company/>
  <LinksUpToDate>false</LinksUpToDate>
  <CharactersWithSpaces>3919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Ting Fan</dc:creator>
  <cp:keywords/>
  <dc:description/>
  <cp:lastModifiedBy>周 荣华</cp:lastModifiedBy>
  <cp:revision>74</cp:revision>
  <dcterms:created xsi:type="dcterms:W3CDTF">2020-12-13T18:09:00Z</dcterms:created>
  <dcterms:modified xsi:type="dcterms:W3CDTF">2020-12-28T11:15:00Z</dcterms:modified>
</cp:coreProperties>
</file>