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02624" w14:textId="2D27C780" w:rsidR="00AF1D36" w:rsidRPr="00F964B0" w:rsidRDefault="0044622E" w:rsidP="0044622E">
      <w:pPr>
        <w:jc w:val="center"/>
        <w:rPr>
          <w:rFonts w:ascii="宋体" w:eastAsia="宋体" w:hAnsi="宋体" w:cs="宋体"/>
          <w:b/>
          <w:bCs/>
          <w:sz w:val="30"/>
          <w:szCs w:val="30"/>
        </w:rPr>
      </w:pPr>
      <w:r>
        <w:rPr>
          <w:rFonts w:ascii="宋体" w:eastAsia="宋体" w:hAnsi="宋体" w:cs="宋体" w:hint="eastAsia"/>
          <w:b/>
          <w:bCs/>
          <w:sz w:val="30"/>
          <w:szCs w:val="30"/>
        </w:rPr>
        <w:t>E</w:t>
      </w:r>
      <w:r>
        <w:rPr>
          <w:rFonts w:ascii="宋体" w:eastAsia="宋体" w:hAnsi="宋体" w:cs="宋体"/>
          <w:b/>
          <w:bCs/>
          <w:sz w:val="30"/>
          <w:szCs w:val="30"/>
        </w:rPr>
        <w:t>CPR</w:t>
      </w:r>
      <w:r w:rsidR="00B27141" w:rsidRPr="00F964B0">
        <w:rPr>
          <w:rFonts w:ascii="宋体" w:eastAsia="宋体" w:hAnsi="宋体" w:cs="宋体" w:hint="eastAsia"/>
          <w:b/>
          <w:bCs/>
          <w:sz w:val="30"/>
          <w:szCs w:val="30"/>
        </w:rPr>
        <w:t>与常规心肺复苏对比：一项回顾性倾向评分匹配研究</w:t>
      </w:r>
    </w:p>
    <w:p w14:paraId="0D3C913D" w14:textId="77777777" w:rsidR="00F964B0" w:rsidRDefault="00F964B0" w:rsidP="00F964B0">
      <w:pPr>
        <w:rPr>
          <w:rFonts w:ascii="宋体" w:eastAsia="宋体" w:hAnsi="宋体" w:cs="宋体"/>
          <w:sz w:val="24"/>
          <w:szCs w:val="24"/>
        </w:rPr>
      </w:pPr>
    </w:p>
    <w:p w14:paraId="12C3F252" w14:textId="0C2464BF" w:rsidR="00AF1D36" w:rsidRDefault="00F964B0" w:rsidP="00F964B0">
      <w:pPr>
        <w:rPr>
          <w:rFonts w:ascii="宋体" w:eastAsia="宋体" w:hAnsi="宋体" w:cs="宋体"/>
          <w:sz w:val="24"/>
          <w:szCs w:val="24"/>
        </w:rPr>
      </w:pPr>
      <w:r>
        <w:rPr>
          <w:rFonts w:ascii="宋体" w:eastAsia="宋体" w:hAnsi="宋体" w:cs="宋体" w:hint="eastAsia"/>
          <w:sz w:val="24"/>
          <w:szCs w:val="24"/>
        </w:rPr>
        <w:t xml:space="preserve">翻译：陈 瑾 </w:t>
      </w:r>
      <w:r>
        <w:rPr>
          <w:rFonts w:ascii="宋体" w:eastAsia="宋体" w:hAnsi="宋体" w:cs="宋体"/>
          <w:sz w:val="24"/>
          <w:szCs w:val="24"/>
        </w:rPr>
        <w:t xml:space="preserve">  </w:t>
      </w:r>
      <w:r w:rsidR="00B27141">
        <w:rPr>
          <w:rFonts w:ascii="宋体" w:eastAsia="宋体" w:hAnsi="宋体" w:cs="宋体" w:hint="eastAsia"/>
          <w:sz w:val="24"/>
          <w:szCs w:val="24"/>
        </w:rPr>
        <w:t xml:space="preserve">武汉亚洲心脏病医院 </w:t>
      </w:r>
    </w:p>
    <w:p w14:paraId="7A5343FA" w14:textId="6E1F3387" w:rsidR="00F964B0" w:rsidRPr="00F964B0" w:rsidRDefault="00F964B0" w:rsidP="00F964B0">
      <w:pPr>
        <w:rPr>
          <w:rFonts w:ascii="宋体" w:eastAsia="宋体" w:hAnsi="宋体" w:cs="宋体"/>
          <w:sz w:val="24"/>
          <w:szCs w:val="24"/>
        </w:rPr>
      </w:pPr>
      <w:r>
        <w:rPr>
          <w:rFonts w:ascii="宋体" w:eastAsia="宋体" w:hAnsi="宋体" w:cs="宋体" w:hint="eastAsia"/>
          <w:sz w:val="24"/>
          <w:szCs w:val="24"/>
        </w:rPr>
        <w:t xml:space="preserve">审校：周荣华 </w:t>
      </w:r>
      <w:r>
        <w:rPr>
          <w:rFonts w:ascii="宋体" w:eastAsia="宋体" w:hAnsi="宋体" w:cs="宋体"/>
          <w:sz w:val="24"/>
          <w:szCs w:val="24"/>
        </w:rPr>
        <w:t xml:space="preserve"> </w:t>
      </w:r>
      <w:r>
        <w:rPr>
          <w:rFonts w:ascii="宋体" w:eastAsia="宋体" w:hAnsi="宋体" w:cs="宋体" w:hint="eastAsia"/>
          <w:sz w:val="24"/>
          <w:szCs w:val="24"/>
        </w:rPr>
        <w:t>四川大学华西医院</w:t>
      </w:r>
    </w:p>
    <w:p w14:paraId="0233F2F5" w14:textId="77777777" w:rsidR="00AF1D36" w:rsidRDefault="00AF1D36">
      <w:pPr>
        <w:jc w:val="center"/>
        <w:rPr>
          <w:rFonts w:ascii="宋体" w:eastAsia="宋体" w:hAnsi="宋体" w:cs="宋体"/>
          <w:sz w:val="24"/>
          <w:szCs w:val="24"/>
        </w:rPr>
      </w:pPr>
    </w:p>
    <w:p w14:paraId="1DFC5934" w14:textId="7817EC33" w:rsidR="00AF1D36" w:rsidRDefault="00B27141">
      <w:pPr>
        <w:jc w:val="left"/>
        <w:rPr>
          <w:rFonts w:ascii="宋体" w:eastAsia="宋体" w:hAnsi="宋体" w:cs="宋体"/>
          <w:sz w:val="24"/>
          <w:szCs w:val="24"/>
        </w:rPr>
      </w:pPr>
      <w:r>
        <w:rPr>
          <w:rFonts w:ascii="宋体" w:eastAsia="宋体" w:hAnsi="宋体" w:cs="宋体" w:hint="eastAsia"/>
          <w:noProof/>
          <w:sz w:val="24"/>
          <w:szCs w:val="24"/>
        </w:rPr>
        <w:drawing>
          <wp:inline distT="0" distB="0" distL="114300" distR="114300" wp14:anchorId="1778BA8A" wp14:editId="0D98F45C">
            <wp:extent cx="1226185" cy="1717040"/>
            <wp:effectExtent l="0" t="0" r="5715" b="10160"/>
            <wp:docPr id="8" name="图片 8" descr="964f5ff692a96eb7228f309f9f8d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64f5ff692a96eb7228f309f9f8dacd"/>
                    <pic:cNvPicPr>
                      <a:picLocks noChangeAspect="1"/>
                    </pic:cNvPicPr>
                  </pic:nvPicPr>
                  <pic:blipFill>
                    <a:blip r:embed="rId5"/>
                    <a:stretch>
                      <a:fillRect/>
                    </a:stretch>
                  </pic:blipFill>
                  <pic:spPr>
                    <a:xfrm>
                      <a:off x="0" y="0"/>
                      <a:ext cx="1226185" cy="1717040"/>
                    </a:xfrm>
                    <a:prstGeom prst="rect">
                      <a:avLst/>
                    </a:prstGeom>
                  </pic:spPr>
                </pic:pic>
              </a:graphicData>
            </a:graphic>
          </wp:inline>
        </w:drawing>
      </w:r>
    </w:p>
    <w:p w14:paraId="48CD5E7B" w14:textId="77777777" w:rsidR="00D179E2" w:rsidRDefault="00D179E2">
      <w:pPr>
        <w:jc w:val="left"/>
        <w:rPr>
          <w:rFonts w:ascii="宋体" w:eastAsia="宋体" w:hAnsi="宋体" w:cs="宋体"/>
          <w:sz w:val="24"/>
          <w:szCs w:val="24"/>
        </w:rPr>
      </w:pPr>
    </w:p>
    <w:p w14:paraId="74F6DC35" w14:textId="77777777" w:rsidR="00AF1D36" w:rsidRDefault="00B27141">
      <w:pPr>
        <w:rPr>
          <w:rFonts w:ascii="宋体" w:eastAsia="宋体" w:hAnsi="宋体" w:cs="宋体"/>
          <w:b/>
          <w:bCs/>
          <w:sz w:val="30"/>
          <w:szCs w:val="30"/>
        </w:rPr>
      </w:pPr>
      <w:r>
        <w:rPr>
          <w:rFonts w:ascii="宋体" w:eastAsia="宋体" w:hAnsi="宋体" w:cs="宋体" w:hint="eastAsia"/>
          <w:b/>
          <w:bCs/>
          <w:sz w:val="30"/>
          <w:szCs w:val="30"/>
        </w:rPr>
        <w:t>摘要</w:t>
      </w:r>
    </w:p>
    <w:p w14:paraId="3D6AD690" w14:textId="77777777" w:rsidR="00AF1D36" w:rsidRDefault="00B27141">
      <w:pPr>
        <w:spacing w:line="360" w:lineRule="auto"/>
        <w:rPr>
          <w:rFonts w:ascii="宋体" w:eastAsia="宋体" w:hAnsi="宋体" w:cs="宋体"/>
          <w:b/>
          <w:bCs/>
          <w:sz w:val="24"/>
          <w:szCs w:val="24"/>
        </w:rPr>
      </w:pPr>
      <w:r>
        <w:rPr>
          <w:rFonts w:ascii="宋体" w:eastAsia="宋体" w:hAnsi="宋体" w:cs="宋体" w:hint="eastAsia"/>
          <w:b/>
          <w:bCs/>
          <w:sz w:val="24"/>
          <w:szCs w:val="24"/>
        </w:rPr>
        <w:t>背景：</w:t>
      </w:r>
      <w:r>
        <w:rPr>
          <w:rFonts w:ascii="宋体" w:eastAsia="宋体" w:hAnsi="宋体" w:cs="宋体" w:hint="eastAsia"/>
          <w:sz w:val="24"/>
          <w:szCs w:val="24"/>
        </w:rPr>
        <w:t>与常规心肺复苏（CCPR）相比，难治性心脏骤停（CA）患者的体外心肺复苏（ECPR）的潜在益处尚不清楚。</w:t>
      </w:r>
    </w:p>
    <w:p w14:paraId="46B62F26" w14:textId="3AEBB2A3" w:rsidR="00AF1D36" w:rsidRDefault="00B27141">
      <w:pPr>
        <w:spacing w:line="360" w:lineRule="auto"/>
        <w:rPr>
          <w:rFonts w:ascii="宋体" w:eastAsia="宋体" w:hAnsi="宋体" w:cs="宋体"/>
          <w:sz w:val="24"/>
          <w:szCs w:val="24"/>
        </w:rPr>
      </w:pPr>
      <w:r>
        <w:rPr>
          <w:rFonts w:ascii="宋体" w:eastAsia="宋体" w:hAnsi="宋体" w:cs="宋体" w:hint="eastAsia"/>
          <w:b/>
          <w:bCs/>
          <w:sz w:val="24"/>
          <w:szCs w:val="24"/>
        </w:rPr>
        <w:t>方法：</w:t>
      </w:r>
      <w:r>
        <w:rPr>
          <w:rFonts w:ascii="宋体" w:eastAsia="宋体" w:hAnsi="宋体" w:cs="宋体" w:hint="eastAsia"/>
          <w:sz w:val="24"/>
          <w:szCs w:val="24"/>
        </w:rPr>
        <w:t>本研究是对心脏骤停患者的前瞻性数据库的回顾性分析，其中包括2012年1月至2017年12月在心脏骤停后进入重症监护室的所有成年患者。 ECPR为由ICU医师组成的ECPR团队执行。使用逻辑回归模型得出倾向得分，包括在各组之间不同的并且可能与结局相关的特征（p &lt;0.10）。主要结局是ICU出院生存率和</w:t>
      </w:r>
      <w:r w:rsidR="00586B12">
        <w:rPr>
          <w:rFonts w:ascii="宋体" w:eastAsia="宋体" w:hAnsi="宋体" w:cs="宋体" w:hint="eastAsia"/>
          <w:sz w:val="24"/>
          <w:szCs w:val="24"/>
        </w:rPr>
        <w:t>良好的</w:t>
      </w:r>
      <w:r>
        <w:rPr>
          <w:rFonts w:ascii="宋体" w:eastAsia="宋体" w:hAnsi="宋体" w:cs="宋体" w:hint="eastAsia"/>
          <w:sz w:val="24"/>
          <w:szCs w:val="24"/>
        </w:rPr>
        <w:t>3个月神经系统结局，</w:t>
      </w:r>
      <w:r w:rsidR="00400709">
        <w:rPr>
          <w:rFonts w:ascii="宋体" w:eastAsia="宋体" w:hAnsi="宋体" w:cs="宋体" w:hint="eastAsia"/>
          <w:sz w:val="24"/>
          <w:szCs w:val="24"/>
        </w:rPr>
        <w:t>后者</w:t>
      </w:r>
      <w:r>
        <w:rPr>
          <w:rFonts w:ascii="宋体" w:eastAsia="宋体" w:hAnsi="宋体" w:cs="宋体" w:hint="eastAsia"/>
          <w:sz w:val="24"/>
          <w:szCs w:val="24"/>
        </w:rPr>
        <w:t>评估</w:t>
      </w:r>
      <w:r w:rsidR="00A170F6">
        <w:rPr>
          <w:rFonts w:ascii="宋体" w:eastAsia="宋体" w:hAnsi="宋体" w:cs="宋体" w:hint="eastAsia"/>
          <w:sz w:val="24"/>
          <w:szCs w:val="24"/>
        </w:rPr>
        <w:t>为</w:t>
      </w:r>
      <w:r>
        <w:rPr>
          <w:rFonts w:ascii="宋体" w:eastAsia="宋体" w:hAnsi="宋体" w:cs="宋体" w:hint="eastAsia"/>
          <w:sz w:val="24"/>
          <w:szCs w:val="24"/>
        </w:rPr>
        <w:t>脑功能分类（CPC）评分1-2。</w:t>
      </w:r>
    </w:p>
    <w:p w14:paraId="563BA0AA" w14:textId="53949921" w:rsidR="00AF1D36" w:rsidRDefault="00B27141">
      <w:pPr>
        <w:spacing w:line="360" w:lineRule="auto"/>
        <w:rPr>
          <w:rFonts w:ascii="宋体" w:eastAsia="宋体" w:hAnsi="宋体" w:cs="宋体"/>
          <w:sz w:val="24"/>
          <w:szCs w:val="24"/>
        </w:rPr>
      </w:pPr>
      <w:r>
        <w:rPr>
          <w:rFonts w:ascii="宋体" w:eastAsia="宋体" w:hAnsi="宋体" w:cs="宋体" w:hint="eastAsia"/>
          <w:b/>
          <w:bCs/>
          <w:sz w:val="24"/>
          <w:szCs w:val="24"/>
        </w:rPr>
        <w:t>结果：</w:t>
      </w:r>
      <w:r>
        <w:rPr>
          <w:rFonts w:ascii="宋体" w:eastAsia="宋体" w:hAnsi="宋体" w:cs="宋体" w:hint="eastAsia"/>
          <w:sz w:val="24"/>
          <w:szCs w:val="24"/>
        </w:rPr>
        <w:t>研究期间</w:t>
      </w:r>
      <w:r w:rsidR="002724F5">
        <w:rPr>
          <w:rFonts w:ascii="宋体" w:eastAsia="宋体" w:hAnsi="宋体" w:cs="宋体" w:hint="eastAsia"/>
          <w:sz w:val="24"/>
          <w:szCs w:val="24"/>
        </w:rPr>
        <w:t>的</w:t>
      </w:r>
      <w:r>
        <w:rPr>
          <w:rFonts w:ascii="宋体" w:eastAsia="宋体" w:hAnsi="宋体" w:cs="宋体" w:hint="eastAsia"/>
          <w:sz w:val="24"/>
          <w:szCs w:val="24"/>
        </w:rPr>
        <w:t>共</w:t>
      </w:r>
      <w:r w:rsidR="002724F5">
        <w:rPr>
          <w:rFonts w:ascii="宋体" w:eastAsia="宋体" w:hAnsi="宋体" w:cs="宋体" w:hint="eastAsia"/>
          <w:sz w:val="24"/>
          <w:szCs w:val="24"/>
        </w:rPr>
        <w:t>计</w:t>
      </w:r>
      <w:r>
        <w:rPr>
          <w:rFonts w:ascii="宋体" w:eastAsia="宋体" w:hAnsi="宋体" w:cs="宋体" w:hint="eastAsia"/>
          <w:sz w:val="24"/>
          <w:szCs w:val="24"/>
        </w:rPr>
        <w:t>635名心脏骤停患者（ECPR，n= 112）中，有80名ECPR患者与80名CCPR患者相匹配。ECPR和CCPR组从心脏骤停到终止CPR（即</w:t>
      </w:r>
      <w:r w:rsidR="002724F5">
        <w:rPr>
          <w:rFonts w:ascii="宋体" w:eastAsia="宋体" w:hAnsi="宋体" w:cs="宋体" w:hint="eastAsia"/>
          <w:sz w:val="24"/>
          <w:szCs w:val="24"/>
        </w:rPr>
        <w:t>恢复</w:t>
      </w:r>
      <w:r>
        <w:rPr>
          <w:rFonts w:ascii="宋体" w:eastAsia="宋体" w:hAnsi="宋体" w:cs="宋体" w:hint="eastAsia"/>
          <w:sz w:val="24"/>
          <w:szCs w:val="24"/>
        </w:rPr>
        <w:t>自发循环[ROSC]，体外膜氧合[ECMO]启动或死亡）的时间分别为54±22和54±19分钟。 ECPR</w:t>
      </w:r>
      <w:r w:rsidR="002724F5">
        <w:rPr>
          <w:rFonts w:ascii="宋体" w:eastAsia="宋体" w:hAnsi="宋体" w:cs="宋体" w:hint="eastAsia"/>
          <w:sz w:val="24"/>
          <w:szCs w:val="24"/>
        </w:rPr>
        <w:t>组</w:t>
      </w:r>
      <w:r>
        <w:rPr>
          <w:rFonts w:ascii="宋体" w:eastAsia="宋体" w:hAnsi="宋体" w:cs="宋体" w:hint="eastAsia"/>
          <w:sz w:val="24"/>
          <w:szCs w:val="24"/>
        </w:rPr>
        <w:t>的ROSC率为77/80（96％），CCPR</w:t>
      </w:r>
      <w:r w:rsidR="002724F5">
        <w:rPr>
          <w:rFonts w:ascii="宋体" w:eastAsia="宋体" w:hAnsi="宋体" w:cs="宋体" w:hint="eastAsia"/>
          <w:sz w:val="24"/>
          <w:szCs w:val="24"/>
        </w:rPr>
        <w:t>组</w:t>
      </w:r>
      <w:r>
        <w:rPr>
          <w:rFonts w:ascii="宋体" w:eastAsia="宋体" w:hAnsi="宋体" w:cs="宋体" w:hint="eastAsia"/>
          <w:sz w:val="24"/>
          <w:szCs w:val="24"/>
        </w:rPr>
        <w:t>的ROSC率为30/80（38％）（p &lt;0.001）。 ECPR</w:t>
      </w:r>
      <w:r w:rsidR="002724F5">
        <w:rPr>
          <w:rFonts w:ascii="宋体" w:eastAsia="宋体" w:hAnsi="宋体" w:cs="宋体" w:hint="eastAsia"/>
          <w:sz w:val="24"/>
          <w:szCs w:val="24"/>
        </w:rPr>
        <w:t>组</w:t>
      </w:r>
      <w:r>
        <w:rPr>
          <w:rFonts w:ascii="宋体" w:eastAsia="宋体" w:hAnsi="宋体" w:cs="宋体" w:hint="eastAsia"/>
          <w:sz w:val="24"/>
          <w:szCs w:val="24"/>
        </w:rPr>
        <w:t>和CCPR组</w:t>
      </w:r>
      <w:r w:rsidR="002724F5">
        <w:rPr>
          <w:rFonts w:ascii="宋体" w:eastAsia="宋体" w:hAnsi="宋体" w:cs="宋体" w:hint="eastAsia"/>
          <w:sz w:val="24"/>
          <w:szCs w:val="24"/>
        </w:rPr>
        <w:t>出</w:t>
      </w:r>
      <w:r>
        <w:rPr>
          <w:rFonts w:ascii="宋体" w:eastAsia="宋体" w:hAnsi="宋体" w:cs="宋体" w:hint="eastAsia"/>
          <w:sz w:val="24"/>
          <w:szCs w:val="24"/>
        </w:rPr>
        <w:t>ICU</w:t>
      </w:r>
      <w:r w:rsidR="002724F5">
        <w:rPr>
          <w:rFonts w:ascii="宋体" w:eastAsia="宋体" w:hAnsi="宋体" w:cs="宋体" w:hint="eastAsia"/>
          <w:sz w:val="24"/>
          <w:szCs w:val="24"/>
        </w:rPr>
        <w:t>时存活</w:t>
      </w:r>
      <w:r>
        <w:rPr>
          <w:rFonts w:ascii="宋体" w:eastAsia="宋体" w:hAnsi="宋体" w:cs="宋体" w:hint="eastAsia"/>
          <w:sz w:val="24"/>
          <w:szCs w:val="24"/>
        </w:rPr>
        <w:t>率分别为18/80（23％）与14/80（18％）（p = 0.42）。在3个月时，有17/80（21％）的ECPR患者和9/80（11％）的CCPR患者有良好的预后（p=0.11）。配对Cox回归分析显示，ECPR组的神经系统结局显着</w:t>
      </w:r>
      <w:r w:rsidR="002724F5">
        <w:rPr>
          <w:rFonts w:ascii="宋体" w:eastAsia="宋体" w:hAnsi="宋体" w:cs="宋体" w:hint="eastAsia"/>
          <w:sz w:val="24"/>
          <w:szCs w:val="24"/>
        </w:rPr>
        <w:t>优</w:t>
      </w:r>
      <w:r>
        <w:rPr>
          <w:rFonts w:ascii="宋体" w:eastAsia="宋体" w:hAnsi="宋体" w:cs="宋体" w:hint="eastAsia"/>
          <w:sz w:val="24"/>
          <w:szCs w:val="24"/>
        </w:rPr>
        <w:t>于CCPR组（对数秩检验p = 0.003）。</w:t>
      </w:r>
    </w:p>
    <w:p w14:paraId="488F8E1F" w14:textId="06C35691" w:rsidR="00AF1D36" w:rsidRDefault="00B27141">
      <w:pPr>
        <w:spacing w:line="360" w:lineRule="auto"/>
        <w:rPr>
          <w:rFonts w:ascii="宋体" w:eastAsia="宋体" w:hAnsi="宋体" w:cs="宋体"/>
          <w:b/>
          <w:bCs/>
          <w:sz w:val="24"/>
          <w:szCs w:val="24"/>
        </w:rPr>
      </w:pPr>
      <w:r>
        <w:rPr>
          <w:rFonts w:ascii="宋体" w:eastAsia="宋体" w:hAnsi="宋体" w:cs="宋体" w:hint="eastAsia"/>
          <w:b/>
          <w:bCs/>
          <w:sz w:val="24"/>
          <w:szCs w:val="24"/>
        </w:rPr>
        <w:t>结论：</w:t>
      </w:r>
      <w:r>
        <w:rPr>
          <w:rFonts w:ascii="宋体" w:eastAsia="宋体" w:hAnsi="宋体" w:cs="宋体" w:hint="eastAsia"/>
          <w:sz w:val="24"/>
          <w:szCs w:val="24"/>
        </w:rPr>
        <w:t>心脏骤停后的ECPR可能与</w:t>
      </w:r>
      <w:r w:rsidR="002724F5">
        <w:rPr>
          <w:rFonts w:ascii="宋体" w:eastAsia="宋体" w:hAnsi="宋体" w:cs="宋体" w:hint="eastAsia"/>
          <w:sz w:val="24"/>
          <w:szCs w:val="24"/>
        </w:rPr>
        <w:t>远</w:t>
      </w:r>
      <w:r>
        <w:rPr>
          <w:rFonts w:ascii="宋体" w:eastAsia="宋体" w:hAnsi="宋体" w:cs="宋体" w:hint="eastAsia"/>
          <w:sz w:val="24"/>
          <w:szCs w:val="24"/>
        </w:rPr>
        <w:t>期神经功能改善有关。</w:t>
      </w:r>
    </w:p>
    <w:p w14:paraId="464C1879" w14:textId="0EDCA869" w:rsidR="00AF1D36" w:rsidRDefault="00B27141">
      <w:pPr>
        <w:spacing w:line="360" w:lineRule="auto"/>
        <w:rPr>
          <w:rFonts w:ascii="宋体" w:eastAsia="宋体" w:hAnsi="宋体" w:cs="宋体"/>
          <w:sz w:val="24"/>
          <w:szCs w:val="24"/>
        </w:rPr>
      </w:pPr>
      <w:r>
        <w:rPr>
          <w:rFonts w:ascii="宋体" w:eastAsia="宋体" w:hAnsi="宋体" w:cs="宋体" w:hint="eastAsia"/>
          <w:b/>
          <w:bCs/>
          <w:sz w:val="24"/>
          <w:szCs w:val="24"/>
        </w:rPr>
        <w:t>关键</w:t>
      </w:r>
      <w:r w:rsidR="00926C6E">
        <w:rPr>
          <w:rFonts w:ascii="宋体" w:eastAsia="宋体" w:hAnsi="宋体" w:cs="宋体" w:hint="eastAsia"/>
          <w:b/>
          <w:bCs/>
          <w:sz w:val="24"/>
          <w:szCs w:val="24"/>
        </w:rPr>
        <w:t>词</w:t>
      </w:r>
      <w:r>
        <w:rPr>
          <w:rFonts w:ascii="宋体" w:eastAsia="宋体" w:hAnsi="宋体" w:cs="宋体" w:hint="eastAsia"/>
          <w:b/>
          <w:bCs/>
          <w:sz w:val="24"/>
          <w:szCs w:val="24"/>
        </w:rPr>
        <w:t>：</w:t>
      </w:r>
      <w:r>
        <w:rPr>
          <w:rFonts w:ascii="宋体" w:eastAsia="宋体" w:hAnsi="宋体" w:cs="宋体" w:hint="eastAsia"/>
          <w:sz w:val="24"/>
          <w:szCs w:val="24"/>
        </w:rPr>
        <w:t>体外心肺复苏，ECMO，院外，存活率，神经系统预后，缺氧后脑损伤</w:t>
      </w:r>
    </w:p>
    <w:p w14:paraId="55EBED5E" w14:textId="42356C4E" w:rsidR="00AF1D36" w:rsidRDefault="005E5B93">
      <w:pPr>
        <w:spacing w:line="360" w:lineRule="auto"/>
        <w:rPr>
          <w:rFonts w:ascii="宋体" w:eastAsia="宋体" w:hAnsi="宋体" w:cs="宋体"/>
          <w:b/>
          <w:bCs/>
          <w:sz w:val="24"/>
          <w:szCs w:val="24"/>
        </w:rPr>
      </w:pPr>
      <w:r>
        <w:rPr>
          <w:rFonts w:ascii="宋体" w:eastAsia="宋体" w:hAnsi="宋体" w:cs="宋体" w:hint="eastAsia"/>
          <w:b/>
          <w:bCs/>
          <w:sz w:val="30"/>
          <w:szCs w:val="30"/>
        </w:rPr>
        <w:lastRenderedPageBreak/>
        <w:t>前言</w:t>
      </w:r>
    </w:p>
    <w:p w14:paraId="56FE0E62" w14:textId="00B67B18"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自首次心肺复苏（CPR）被应用以来，该领域已取得了显着的技术和科学进步。早期除颤和实施目标温度管理（TTM）等干预措施有助于改善心脏骤停患者的预后。但是，这些患者的出院生存率仍然很低。最近的研究表明，院</w:t>
      </w:r>
      <w:r w:rsidR="00587611">
        <w:rPr>
          <w:rFonts w:ascii="宋体" w:eastAsia="宋体" w:hAnsi="宋体" w:cs="宋体" w:hint="eastAsia"/>
          <w:sz w:val="24"/>
          <w:szCs w:val="24"/>
        </w:rPr>
        <w:t>内</w:t>
      </w:r>
      <w:r>
        <w:rPr>
          <w:rFonts w:ascii="宋体" w:eastAsia="宋体" w:hAnsi="宋体" w:cs="宋体" w:hint="eastAsia"/>
          <w:sz w:val="24"/>
          <w:szCs w:val="24"/>
        </w:rPr>
        <w:t>心脏骤停（IHCA）患者的生存率约为20％，而院外心脏骤停（OHCA）患者的生存率约为10％。这些结论可能会因所使用的特定紧急医疗系统（EMS）而有所不同，并且基本上基于常规CPR（CCPR）的使用。</w:t>
      </w:r>
    </w:p>
    <w:p w14:paraId="6B7A9A45" w14:textId="6BB6B900" w:rsidR="00AF1D36" w:rsidRDefault="00B27141" w:rsidP="00B6188F">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“无血流”（即从停搏到第一次胸部</w:t>
      </w:r>
      <w:r w:rsidR="00D725C3">
        <w:rPr>
          <w:rFonts w:ascii="宋体" w:eastAsia="宋体" w:hAnsi="宋体" w:cs="宋体" w:hint="eastAsia"/>
          <w:sz w:val="24"/>
          <w:szCs w:val="24"/>
        </w:rPr>
        <w:t>按</w:t>
      </w:r>
      <w:r>
        <w:rPr>
          <w:rFonts w:ascii="宋体" w:eastAsia="宋体" w:hAnsi="宋体" w:cs="宋体" w:hint="eastAsia"/>
          <w:sz w:val="24"/>
          <w:szCs w:val="24"/>
        </w:rPr>
        <w:t>压的时间）和“低血流”（即CCPR的持续时间）时间是心脏骤停患者预后的重要决定因素。立即开始由旁观者进行心肺复苏对于减少无血流时间仍然至关重要。指南强调了电话协助的旁观者指导在为心脏骤停患者提供及时胸部按压方面的重要性。急救人员尽早提供CPR和高级生命支持（ALS）可以缩短低血流时间。然而，当CCPR延长时，</w:t>
      </w:r>
      <w:r w:rsidR="00EE018F">
        <w:rPr>
          <w:rFonts w:ascii="宋体" w:eastAsia="宋体" w:hAnsi="宋体" w:cs="宋体" w:hint="eastAsia"/>
          <w:sz w:val="24"/>
          <w:szCs w:val="24"/>
        </w:rPr>
        <w:t>恢复</w:t>
      </w:r>
      <w:r>
        <w:rPr>
          <w:rFonts w:ascii="宋体" w:eastAsia="宋体" w:hAnsi="宋体" w:cs="宋体" w:hint="eastAsia"/>
          <w:sz w:val="24"/>
          <w:szCs w:val="24"/>
        </w:rPr>
        <w:t>自发循环（ROSC）的可能性也会逐渐降低。Mosca等人在一项研究报告中指出，持续进行超过45分钟的CPR操作后医院存活率不足2％，大多数患者</w:t>
      </w:r>
      <w:r w:rsidR="00B6188F">
        <w:rPr>
          <w:rFonts w:ascii="宋体" w:eastAsia="宋体" w:hAnsi="宋体" w:cs="宋体" w:hint="eastAsia"/>
          <w:sz w:val="24"/>
          <w:szCs w:val="24"/>
        </w:rPr>
        <w:t>未能恢复自主循环而</w:t>
      </w:r>
      <w:r>
        <w:rPr>
          <w:rFonts w:ascii="宋体" w:eastAsia="宋体" w:hAnsi="宋体" w:cs="宋体" w:hint="eastAsia"/>
          <w:sz w:val="24"/>
          <w:szCs w:val="24"/>
        </w:rPr>
        <w:t>死亡。在这种背景下，特别是对于那些</w:t>
      </w:r>
      <w:r w:rsidR="00510658">
        <w:rPr>
          <w:rFonts w:ascii="宋体" w:eastAsia="宋体" w:hAnsi="宋体" w:cs="宋体" w:hint="eastAsia"/>
          <w:sz w:val="24"/>
          <w:szCs w:val="24"/>
        </w:rPr>
        <w:t>已经获得尽</w:t>
      </w:r>
      <w:r>
        <w:rPr>
          <w:rFonts w:ascii="宋体" w:eastAsia="宋体" w:hAnsi="宋体" w:cs="宋体" w:hint="eastAsia"/>
          <w:sz w:val="24"/>
          <w:szCs w:val="24"/>
        </w:rPr>
        <w:t>可能最佳复苏的患者（即无血流时间短，旁观者心肺复苏，</w:t>
      </w:r>
      <w:r>
        <w:rPr>
          <w:rFonts w:ascii="宋体" w:eastAsia="宋体" w:hAnsi="宋体" w:cs="宋体" w:hint="eastAsia"/>
          <w:color w:val="333333"/>
          <w:sz w:val="24"/>
          <w:szCs w:val="24"/>
          <w:shd w:val="clear" w:color="auto" w:fill="FFFFFF"/>
        </w:rPr>
        <w:t>可电击复律</w:t>
      </w:r>
      <w:r>
        <w:rPr>
          <w:rFonts w:ascii="宋体" w:eastAsia="宋体" w:hAnsi="宋体" w:cs="宋体" w:hint="eastAsia"/>
          <w:sz w:val="24"/>
          <w:szCs w:val="24"/>
        </w:rPr>
        <w:t>），如果恢复自主循环，则很有可能获得良好的心脏和神经功能恢复，这使</w:t>
      </w:r>
      <w:r w:rsidR="00510658">
        <w:rPr>
          <w:rFonts w:ascii="宋体" w:eastAsia="宋体" w:hAnsi="宋体" w:cs="宋体" w:hint="eastAsia"/>
          <w:sz w:val="24"/>
          <w:szCs w:val="24"/>
        </w:rPr>
        <w:t>得</w:t>
      </w:r>
      <w:r>
        <w:rPr>
          <w:rFonts w:ascii="宋体" w:eastAsia="宋体" w:hAnsi="宋体" w:cs="宋体" w:hint="eastAsia"/>
          <w:sz w:val="24"/>
          <w:szCs w:val="24"/>
        </w:rPr>
        <w:t>这些患者成为体外心肺复苏（ECPR）的最佳潜在候选人。</w:t>
      </w:r>
    </w:p>
    <w:p w14:paraId="597D2CA5" w14:textId="2BF15391"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在心脏骤停患者中，ECMO可能比CCPR提供更大的</w:t>
      </w:r>
      <w:r w:rsidR="008C5815">
        <w:rPr>
          <w:rFonts w:ascii="宋体" w:eastAsia="宋体" w:hAnsi="宋体" w:cs="宋体" w:hint="eastAsia"/>
          <w:sz w:val="24"/>
          <w:szCs w:val="24"/>
        </w:rPr>
        <w:t>全身</w:t>
      </w:r>
      <w:r>
        <w:rPr>
          <w:rFonts w:ascii="宋体" w:eastAsia="宋体" w:hAnsi="宋体" w:cs="宋体" w:hint="eastAsia"/>
          <w:sz w:val="24"/>
          <w:szCs w:val="24"/>
        </w:rPr>
        <w:t>血流量，因此可能减少缺氧后细胞的损伤。 ECPR也可以被视为对心脏骤停潜在病因进行适当治疗（即冠状动脉造影或心脏手术）的“桥梁”，而在CCPR期间这是不可行的。使用ECPR，可使患者的心脏处于“静止状态”，从而部分或全部恢复心脏功能，并最大限度地减少对血管</w:t>
      </w:r>
      <w:r w:rsidR="008C5815">
        <w:rPr>
          <w:rFonts w:ascii="宋体" w:eastAsia="宋体" w:hAnsi="宋体" w:cs="宋体" w:hint="eastAsia"/>
          <w:sz w:val="24"/>
          <w:szCs w:val="24"/>
        </w:rPr>
        <w:t>活性</w:t>
      </w:r>
      <w:r>
        <w:rPr>
          <w:rFonts w:ascii="宋体" w:eastAsia="宋体" w:hAnsi="宋体" w:cs="宋体" w:hint="eastAsia"/>
          <w:sz w:val="24"/>
          <w:szCs w:val="24"/>
        </w:rPr>
        <w:t>药和/或正性肌力药物的需求。如果适用，ECPR可以更</w:t>
      </w:r>
      <w:r w:rsidR="008C5815">
        <w:rPr>
          <w:rFonts w:ascii="宋体" w:eastAsia="宋体" w:hAnsi="宋体" w:cs="宋体" w:hint="eastAsia"/>
          <w:sz w:val="24"/>
          <w:szCs w:val="24"/>
        </w:rPr>
        <w:t>容易</w:t>
      </w:r>
      <w:r>
        <w:rPr>
          <w:rFonts w:ascii="宋体" w:eastAsia="宋体" w:hAnsi="宋体" w:cs="宋体" w:hint="eastAsia"/>
          <w:sz w:val="24"/>
          <w:szCs w:val="24"/>
        </w:rPr>
        <w:t>地确定</w:t>
      </w:r>
      <w:r w:rsidR="000066A2">
        <w:rPr>
          <w:rFonts w:ascii="宋体" w:eastAsia="宋体" w:hAnsi="宋体" w:cs="宋体" w:hint="eastAsia"/>
          <w:sz w:val="24"/>
          <w:szCs w:val="24"/>
        </w:rPr>
        <w:t>心脏骤停的可逆病因、并予以</w:t>
      </w:r>
      <w:r>
        <w:rPr>
          <w:rFonts w:ascii="宋体" w:eastAsia="宋体" w:hAnsi="宋体" w:cs="宋体" w:hint="eastAsia"/>
          <w:sz w:val="24"/>
          <w:szCs w:val="24"/>
        </w:rPr>
        <w:t>治疗。由于减少了总的缺氧时间</w:t>
      </w:r>
      <w:r w:rsidR="00424807">
        <w:rPr>
          <w:rFonts w:ascii="宋体" w:eastAsia="宋体" w:hAnsi="宋体" w:cs="宋体" w:hint="eastAsia"/>
          <w:sz w:val="24"/>
          <w:szCs w:val="24"/>
        </w:rPr>
        <w:t>，</w:t>
      </w:r>
      <w:r>
        <w:rPr>
          <w:rFonts w:ascii="宋体" w:eastAsia="宋体" w:hAnsi="宋体" w:cs="宋体" w:hint="eastAsia"/>
          <w:sz w:val="24"/>
          <w:szCs w:val="24"/>
        </w:rPr>
        <w:t>并通过ECMO灌注保证了脑循环，因此这种方法也可以转化为神经功能的改善。在部分难治性心脏骤停</w:t>
      </w:r>
      <w:r w:rsidR="00424807">
        <w:rPr>
          <w:rFonts w:ascii="宋体" w:eastAsia="宋体" w:hAnsi="宋体" w:cs="宋体" w:hint="eastAsia"/>
          <w:sz w:val="24"/>
          <w:szCs w:val="24"/>
        </w:rPr>
        <w:t>患者</w:t>
      </w:r>
      <w:r>
        <w:rPr>
          <w:rFonts w:ascii="宋体" w:eastAsia="宋体" w:hAnsi="宋体" w:cs="宋体" w:hint="eastAsia"/>
          <w:sz w:val="24"/>
          <w:szCs w:val="24"/>
        </w:rPr>
        <w:t>中，实施ECPR可将院内心脏骤停和院外心脏骤停的生存率分别提高至45％和30％。此外</w:t>
      </w:r>
      <w:r w:rsidR="00424807">
        <w:rPr>
          <w:rFonts w:ascii="宋体" w:eastAsia="宋体" w:hAnsi="宋体" w:cs="宋体" w:hint="eastAsia"/>
          <w:sz w:val="24"/>
          <w:szCs w:val="24"/>
        </w:rPr>
        <w:t>，</w:t>
      </w:r>
      <w:r>
        <w:rPr>
          <w:rFonts w:ascii="宋体" w:eastAsia="宋体" w:hAnsi="宋体" w:cs="宋体" w:hint="eastAsia"/>
          <w:sz w:val="24"/>
          <w:szCs w:val="24"/>
        </w:rPr>
        <w:t>据报</w:t>
      </w:r>
      <w:r w:rsidR="009946FF">
        <w:rPr>
          <w:rFonts w:ascii="宋体" w:eastAsia="宋体" w:hAnsi="宋体" w:cs="宋体" w:hint="eastAsia"/>
          <w:sz w:val="24"/>
          <w:szCs w:val="24"/>
        </w:rPr>
        <w:t>道</w:t>
      </w:r>
      <w:r w:rsidR="00424807">
        <w:rPr>
          <w:rFonts w:ascii="宋体" w:eastAsia="宋体" w:hAnsi="宋体" w:cs="宋体" w:hint="eastAsia"/>
          <w:sz w:val="24"/>
          <w:szCs w:val="24"/>
        </w:rPr>
        <w:t>，</w:t>
      </w:r>
      <w:r>
        <w:rPr>
          <w:rFonts w:ascii="宋体" w:eastAsia="宋体" w:hAnsi="宋体" w:cs="宋体" w:hint="eastAsia"/>
          <w:sz w:val="24"/>
          <w:szCs w:val="24"/>
        </w:rPr>
        <w:t>心源性和药物中毒性心脏骤停</w:t>
      </w:r>
      <w:r w:rsidR="009946FF">
        <w:rPr>
          <w:rFonts w:ascii="宋体" w:eastAsia="宋体" w:hAnsi="宋体" w:cs="宋体" w:hint="eastAsia"/>
          <w:sz w:val="24"/>
          <w:szCs w:val="24"/>
        </w:rPr>
        <w:t>，</w:t>
      </w:r>
      <w:r>
        <w:rPr>
          <w:rFonts w:ascii="宋体" w:eastAsia="宋体" w:hAnsi="宋体" w:cs="宋体" w:hint="eastAsia"/>
          <w:sz w:val="24"/>
          <w:szCs w:val="24"/>
        </w:rPr>
        <w:t>院内心脏骤停和院外心脏骤停</w:t>
      </w:r>
      <w:r w:rsidR="009946FF">
        <w:rPr>
          <w:rFonts w:ascii="宋体" w:eastAsia="宋体" w:hAnsi="宋体" w:cs="宋体" w:hint="eastAsia"/>
          <w:sz w:val="24"/>
          <w:szCs w:val="24"/>
        </w:rPr>
        <w:t>患者的ECPR</w:t>
      </w:r>
      <w:r>
        <w:rPr>
          <w:rFonts w:ascii="宋体" w:eastAsia="宋体" w:hAnsi="宋体" w:cs="宋体" w:hint="eastAsia"/>
          <w:sz w:val="24"/>
          <w:szCs w:val="24"/>
        </w:rPr>
        <w:t>生存率分别为33％和37％。</w:t>
      </w:r>
      <w:r w:rsidR="00AF27BE">
        <w:rPr>
          <w:rFonts w:ascii="宋体" w:eastAsia="宋体" w:hAnsi="宋体" w:cs="宋体" w:hint="eastAsia"/>
          <w:sz w:val="24"/>
          <w:szCs w:val="24"/>
        </w:rPr>
        <w:t>然而</w:t>
      </w:r>
      <w:r>
        <w:rPr>
          <w:rFonts w:ascii="宋体" w:eastAsia="宋体" w:hAnsi="宋体" w:cs="宋体" w:hint="eastAsia"/>
          <w:sz w:val="24"/>
          <w:szCs w:val="24"/>
        </w:rPr>
        <w:t>，尽管</w:t>
      </w:r>
      <w:r w:rsidR="00AF27BE">
        <w:rPr>
          <w:rFonts w:ascii="宋体" w:eastAsia="宋体" w:hAnsi="宋体" w:cs="宋体" w:hint="eastAsia"/>
          <w:sz w:val="24"/>
          <w:szCs w:val="24"/>
        </w:rPr>
        <w:t>ECPR</w:t>
      </w:r>
      <w:r>
        <w:rPr>
          <w:rFonts w:ascii="宋体" w:eastAsia="宋体" w:hAnsi="宋体" w:cs="宋体" w:hint="eastAsia"/>
          <w:sz w:val="24"/>
          <w:szCs w:val="24"/>
        </w:rPr>
        <w:t>对院内心脏骤停</w:t>
      </w:r>
      <w:r w:rsidR="00AF27BE">
        <w:rPr>
          <w:rFonts w:ascii="宋体" w:eastAsia="宋体" w:hAnsi="宋体" w:cs="宋体" w:hint="eastAsia"/>
          <w:sz w:val="24"/>
          <w:szCs w:val="24"/>
        </w:rPr>
        <w:t>患者</w:t>
      </w:r>
      <w:r>
        <w:rPr>
          <w:rFonts w:ascii="宋体" w:eastAsia="宋体" w:hAnsi="宋体" w:cs="宋体" w:hint="eastAsia"/>
          <w:sz w:val="24"/>
          <w:szCs w:val="24"/>
        </w:rPr>
        <w:t>很容易</w:t>
      </w:r>
      <w:r w:rsidR="00AF27BE">
        <w:rPr>
          <w:rFonts w:ascii="宋体" w:eastAsia="宋体" w:hAnsi="宋体" w:cs="宋体" w:hint="eastAsia"/>
          <w:sz w:val="24"/>
          <w:szCs w:val="24"/>
        </w:rPr>
        <w:t>实施</w:t>
      </w:r>
      <w:r>
        <w:rPr>
          <w:rFonts w:ascii="宋体" w:eastAsia="宋体" w:hAnsi="宋体" w:cs="宋体" w:hint="eastAsia"/>
          <w:sz w:val="24"/>
          <w:szCs w:val="24"/>
        </w:rPr>
        <w:t>，但是即便有可用的设备，</w:t>
      </w:r>
      <w:r w:rsidR="00AF27BE">
        <w:rPr>
          <w:rFonts w:ascii="宋体" w:eastAsia="宋体" w:hAnsi="宋体" w:cs="宋体" w:hint="eastAsia"/>
          <w:sz w:val="24"/>
          <w:szCs w:val="24"/>
        </w:rPr>
        <w:t>对</w:t>
      </w:r>
      <w:r>
        <w:rPr>
          <w:rFonts w:ascii="宋体" w:eastAsia="宋体" w:hAnsi="宋体" w:cs="宋体" w:hint="eastAsia"/>
          <w:sz w:val="24"/>
          <w:szCs w:val="24"/>
        </w:rPr>
        <w:t>院外心脏骤</w:t>
      </w:r>
      <w:r>
        <w:rPr>
          <w:rFonts w:ascii="宋体" w:eastAsia="宋体" w:hAnsi="宋体" w:cs="宋体" w:hint="eastAsia"/>
          <w:sz w:val="24"/>
          <w:szCs w:val="24"/>
        </w:rPr>
        <w:lastRenderedPageBreak/>
        <w:t>停患者</w:t>
      </w:r>
      <w:r w:rsidR="00AF27BE">
        <w:rPr>
          <w:rFonts w:ascii="宋体" w:eastAsia="宋体" w:hAnsi="宋体" w:cs="宋体" w:hint="eastAsia"/>
          <w:sz w:val="24"/>
          <w:szCs w:val="24"/>
        </w:rPr>
        <w:t>，E</w:t>
      </w:r>
      <w:r w:rsidR="00AF27BE">
        <w:rPr>
          <w:rFonts w:ascii="宋体" w:eastAsia="宋体" w:hAnsi="宋体" w:cs="宋体"/>
          <w:sz w:val="24"/>
          <w:szCs w:val="24"/>
        </w:rPr>
        <w:t>CPR</w:t>
      </w:r>
      <w:r>
        <w:rPr>
          <w:rFonts w:ascii="宋体" w:eastAsia="宋体" w:hAnsi="宋体" w:cs="宋体" w:hint="eastAsia"/>
          <w:sz w:val="24"/>
          <w:szCs w:val="24"/>
        </w:rPr>
        <w:t>的使用仍然存在问题</w:t>
      </w:r>
      <w:r w:rsidR="00AF27BE">
        <w:rPr>
          <w:rFonts w:ascii="宋体" w:eastAsia="宋体" w:hAnsi="宋体" w:cs="宋体" w:hint="eastAsia"/>
          <w:sz w:val="24"/>
          <w:szCs w:val="24"/>
        </w:rPr>
        <w:t>、</w:t>
      </w:r>
      <w:r>
        <w:rPr>
          <w:rFonts w:ascii="宋体" w:eastAsia="宋体" w:hAnsi="宋体" w:cs="宋体" w:hint="eastAsia"/>
          <w:sz w:val="24"/>
          <w:szCs w:val="24"/>
        </w:rPr>
        <w:t>疗效仍存在争议。</w:t>
      </w:r>
    </w:p>
    <w:p w14:paraId="543D547F" w14:textId="0FEA44A5" w:rsidR="008C5815" w:rsidRDefault="0066246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本</w:t>
      </w:r>
      <w:r w:rsidR="00B27141">
        <w:rPr>
          <w:rFonts w:ascii="宋体" w:eastAsia="宋体" w:hAnsi="宋体" w:cs="宋体" w:hint="eastAsia"/>
          <w:sz w:val="24"/>
          <w:szCs w:val="24"/>
        </w:rPr>
        <w:t>研究目的是</w:t>
      </w:r>
      <w:r w:rsidR="00343E1E">
        <w:rPr>
          <w:rFonts w:ascii="宋体" w:eastAsia="宋体" w:hAnsi="宋体" w:cs="宋体" w:hint="eastAsia"/>
          <w:sz w:val="24"/>
          <w:szCs w:val="24"/>
        </w:rPr>
        <w:t>，通过</w:t>
      </w:r>
      <w:r w:rsidR="00B27141">
        <w:rPr>
          <w:rFonts w:ascii="宋体" w:eastAsia="宋体" w:hAnsi="宋体" w:cs="宋体" w:hint="eastAsia"/>
          <w:sz w:val="24"/>
          <w:szCs w:val="24"/>
        </w:rPr>
        <w:t>使用倾向评分匹配法</w:t>
      </w:r>
      <w:r w:rsidR="00343E1E">
        <w:rPr>
          <w:rFonts w:ascii="宋体" w:eastAsia="宋体" w:hAnsi="宋体" w:cs="宋体" w:hint="eastAsia"/>
          <w:sz w:val="24"/>
          <w:szCs w:val="24"/>
        </w:rPr>
        <w:t>，比较ECPR</w:t>
      </w:r>
      <w:r w:rsidR="00B27141">
        <w:rPr>
          <w:rFonts w:ascii="宋体" w:eastAsia="宋体" w:hAnsi="宋体" w:cs="宋体" w:hint="eastAsia"/>
          <w:sz w:val="24"/>
          <w:szCs w:val="24"/>
        </w:rPr>
        <w:t>与CCPR对生存率和</w:t>
      </w:r>
      <w:r w:rsidR="00343E1E">
        <w:rPr>
          <w:rFonts w:ascii="宋体" w:eastAsia="宋体" w:hAnsi="宋体" w:cs="宋体" w:hint="eastAsia"/>
          <w:sz w:val="24"/>
          <w:szCs w:val="24"/>
        </w:rPr>
        <w:t>远期</w:t>
      </w:r>
      <w:r w:rsidR="00B27141">
        <w:rPr>
          <w:rFonts w:ascii="宋体" w:eastAsia="宋体" w:hAnsi="宋体" w:cs="宋体" w:hint="eastAsia"/>
          <w:sz w:val="24"/>
          <w:szCs w:val="24"/>
        </w:rPr>
        <w:t>神经系统预后的影响。</w:t>
      </w:r>
    </w:p>
    <w:p w14:paraId="0EB6E2B1" w14:textId="77777777" w:rsidR="00AF1D36" w:rsidRDefault="00AF1D36">
      <w:pPr>
        <w:spacing w:line="360" w:lineRule="auto"/>
        <w:rPr>
          <w:rFonts w:ascii="宋体" w:eastAsia="宋体" w:hAnsi="宋体" w:cs="宋体"/>
          <w:sz w:val="24"/>
          <w:szCs w:val="24"/>
        </w:rPr>
      </w:pPr>
    </w:p>
    <w:p w14:paraId="19234E62" w14:textId="77777777" w:rsidR="00AF1D36" w:rsidRDefault="00B27141">
      <w:pPr>
        <w:spacing w:line="360" w:lineRule="auto"/>
        <w:rPr>
          <w:rFonts w:ascii="宋体" w:eastAsia="宋体" w:hAnsi="宋体" w:cs="宋体"/>
          <w:b/>
          <w:bCs/>
          <w:sz w:val="30"/>
          <w:szCs w:val="30"/>
        </w:rPr>
      </w:pPr>
      <w:r>
        <w:rPr>
          <w:rFonts w:ascii="宋体" w:eastAsia="宋体" w:hAnsi="宋体" w:cs="宋体" w:hint="eastAsia"/>
          <w:b/>
          <w:bCs/>
          <w:sz w:val="30"/>
          <w:szCs w:val="30"/>
        </w:rPr>
        <w:t>方法</w:t>
      </w:r>
    </w:p>
    <w:p w14:paraId="7A82D446" w14:textId="77777777" w:rsidR="00AF1D36" w:rsidRPr="00B04FF0" w:rsidRDefault="00B27141">
      <w:pPr>
        <w:spacing w:line="360" w:lineRule="auto"/>
        <w:rPr>
          <w:rFonts w:ascii="宋体" w:eastAsia="宋体" w:hAnsi="宋体" w:cs="宋体"/>
          <w:b/>
          <w:bCs/>
          <w:sz w:val="24"/>
          <w:szCs w:val="24"/>
        </w:rPr>
      </w:pPr>
      <w:r w:rsidRPr="006346B5">
        <w:rPr>
          <w:rFonts w:ascii="宋体" w:eastAsia="宋体" w:hAnsi="宋体" w:cs="宋体" w:hint="eastAsia"/>
          <w:b/>
          <w:bCs/>
          <w:sz w:val="24"/>
          <w:szCs w:val="24"/>
        </w:rPr>
        <w:t>研究人群</w:t>
      </w:r>
    </w:p>
    <w:p w14:paraId="081676FF" w14:textId="7730CC9C"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在这项回顾性研究中，患者选自在 Erasme大学医院接受治疗的心脏骤停患者的机构数据库，该医院是比利时布鲁塞尔的三级医疗中心，其急救系统覆盖约 250,000 名居民。</w:t>
      </w:r>
    </w:p>
    <w:p w14:paraId="60DFC7F6" w14:textId="77777777" w:rsidR="00AF1D36" w:rsidRDefault="00AF1D36">
      <w:pPr>
        <w:spacing w:line="360" w:lineRule="auto"/>
        <w:rPr>
          <w:rFonts w:ascii="宋体" w:eastAsia="宋体" w:hAnsi="宋体" w:cs="宋体"/>
          <w:sz w:val="24"/>
          <w:szCs w:val="24"/>
        </w:rPr>
      </w:pPr>
    </w:p>
    <w:p w14:paraId="04071278" w14:textId="29581E1F" w:rsidR="00AF1D36" w:rsidRDefault="00B27141">
      <w:pPr>
        <w:spacing w:line="360" w:lineRule="auto"/>
        <w:rPr>
          <w:rFonts w:ascii="宋体" w:eastAsia="宋体" w:hAnsi="宋体" w:cs="宋体"/>
          <w:b/>
          <w:bCs/>
          <w:sz w:val="24"/>
          <w:szCs w:val="24"/>
        </w:rPr>
      </w:pPr>
      <w:r>
        <w:rPr>
          <w:rFonts w:ascii="宋体" w:eastAsia="宋体" w:hAnsi="宋体" w:cs="宋体" w:hint="eastAsia"/>
          <w:b/>
          <w:bCs/>
          <w:sz w:val="24"/>
          <w:szCs w:val="24"/>
        </w:rPr>
        <w:t>研究</w:t>
      </w:r>
      <w:r w:rsidR="00D72CC4">
        <w:rPr>
          <w:rFonts w:ascii="宋体" w:eastAsia="宋体" w:hAnsi="宋体" w:cs="宋体" w:hint="eastAsia"/>
          <w:b/>
          <w:bCs/>
          <w:sz w:val="24"/>
          <w:szCs w:val="24"/>
        </w:rPr>
        <w:t>现场</w:t>
      </w:r>
    </w:p>
    <w:p w14:paraId="1E5C40DD" w14:textId="508FA175"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自2012年1月以来，ECMO小组评估了</w:t>
      </w:r>
      <w:r w:rsidR="002855A9">
        <w:rPr>
          <w:rFonts w:ascii="宋体" w:eastAsia="宋体" w:hAnsi="宋体" w:cs="宋体" w:hint="eastAsia"/>
          <w:sz w:val="24"/>
          <w:szCs w:val="24"/>
        </w:rPr>
        <w:t>E</w:t>
      </w:r>
      <w:r w:rsidR="002855A9">
        <w:rPr>
          <w:rFonts w:ascii="宋体" w:eastAsia="宋体" w:hAnsi="宋体" w:cs="宋体"/>
          <w:sz w:val="24"/>
          <w:szCs w:val="24"/>
        </w:rPr>
        <w:t>MS</w:t>
      </w:r>
      <w:r>
        <w:rPr>
          <w:rFonts w:ascii="宋体" w:eastAsia="宋体" w:hAnsi="宋体" w:cs="宋体" w:hint="eastAsia"/>
          <w:sz w:val="24"/>
          <w:szCs w:val="24"/>
        </w:rPr>
        <w:t>急救患者或发生院内心脏骤停之后患者的ECPR适应症，这些因素包括：年龄&lt;65岁，有目击者，估计无血流时间&lt;2分钟，估计ECMO放置时间 &lt; 75分钟，无严重合并症，CPR期间有生命迹象。LUCAS胸外按压系统被常规用于所有持续复苏但前3个CPR周期失败的心脏骤停患者。在机械辅助CPR下</w:t>
      </w:r>
      <w:r w:rsidR="00E7619B">
        <w:rPr>
          <w:rFonts w:ascii="宋体" w:eastAsia="宋体" w:hAnsi="宋体" w:cs="宋体" w:hint="eastAsia"/>
          <w:sz w:val="24"/>
          <w:szCs w:val="24"/>
        </w:rPr>
        <w:t>，</w:t>
      </w:r>
      <w:r>
        <w:rPr>
          <w:rFonts w:ascii="宋体" w:eastAsia="宋体" w:hAnsi="宋体" w:cs="宋体" w:hint="eastAsia"/>
          <w:sz w:val="24"/>
          <w:szCs w:val="24"/>
        </w:rPr>
        <w:t>超声引导下</w:t>
      </w:r>
      <w:r w:rsidR="00E7619B">
        <w:rPr>
          <w:rFonts w:ascii="宋体" w:eastAsia="宋体" w:hAnsi="宋体" w:cs="宋体" w:hint="eastAsia"/>
          <w:sz w:val="24"/>
          <w:szCs w:val="24"/>
        </w:rPr>
        <w:t>经皮</w:t>
      </w:r>
      <w:r>
        <w:rPr>
          <w:rFonts w:ascii="宋体" w:eastAsia="宋体" w:hAnsi="宋体" w:cs="宋体" w:hint="eastAsia"/>
          <w:sz w:val="24"/>
          <w:szCs w:val="24"/>
        </w:rPr>
        <w:t>外周股静脉-股动脉（V-A）经皮插管。复苏后治疗包括充足的氧合（即PaO</w:t>
      </w:r>
      <w:r w:rsidRPr="006346B5">
        <w:rPr>
          <w:rFonts w:ascii="宋体" w:eastAsia="宋体" w:hAnsi="宋体" w:cs="宋体"/>
          <w:sz w:val="24"/>
          <w:szCs w:val="24"/>
          <w:vertAlign w:val="subscript"/>
        </w:rPr>
        <w:t>2</w:t>
      </w:r>
      <w:r>
        <w:rPr>
          <w:rFonts w:ascii="宋体" w:eastAsia="宋体" w:hAnsi="宋体" w:cs="宋体" w:hint="eastAsia"/>
          <w:sz w:val="24"/>
          <w:szCs w:val="24"/>
        </w:rPr>
        <w:t xml:space="preserve"> 80-150mmHg）、血管加压药和补液以维持平均动脉压 (MAP) &gt; 65-70mmHg、治疗性降温（目标是体温 34 °C 持续 24 小时），并在需要时尽早进行心导管手术。在心脏骤停后 24 小时使用普通肝素开始抗凝，以尽量减少出血风险。 ECMO插管包括 25Fr静脉插管和 18-22Fr动脉插管。离心泵的初始血流量设置为 3-4L/min。 ECMO的预充包括700mL勃脉力溶液。最后用单腔 8 Fr 导管</w:t>
      </w:r>
      <w:r w:rsidR="004C3DCC">
        <w:rPr>
          <w:rFonts w:ascii="宋体" w:eastAsia="宋体" w:hAnsi="宋体" w:cs="宋体" w:hint="eastAsia"/>
          <w:sz w:val="24"/>
          <w:szCs w:val="24"/>
        </w:rPr>
        <w:t>顺行</w:t>
      </w:r>
      <w:r>
        <w:rPr>
          <w:rFonts w:ascii="宋体" w:eastAsia="宋体" w:hAnsi="宋体" w:cs="宋体" w:hint="eastAsia"/>
          <w:sz w:val="24"/>
          <w:szCs w:val="24"/>
        </w:rPr>
        <w:t>灌注</w:t>
      </w:r>
      <w:r w:rsidR="004C3DCC">
        <w:rPr>
          <w:rFonts w:ascii="宋体" w:eastAsia="宋体" w:hAnsi="宋体" w:cs="宋体" w:hint="eastAsia"/>
          <w:sz w:val="24"/>
          <w:szCs w:val="24"/>
        </w:rPr>
        <w:t>下肢</w:t>
      </w:r>
      <w:r>
        <w:rPr>
          <w:rFonts w:ascii="宋体" w:eastAsia="宋体" w:hAnsi="宋体" w:cs="宋体" w:hint="eastAsia"/>
          <w:sz w:val="24"/>
          <w:szCs w:val="24"/>
        </w:rPr>
        <w:t>以防止肢体缺血。</w:t>
      </w:r>
    </w:p>
    <w:p w14:paraId="54312BC3" w14:textId="77777777" w:rsidR="00AF1D36" w:rsidRDefault="00B27141">
      <w:pPr>
        <w:spacing w:line="360" w:lineRule="auto"/>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3FE3380D" wp14:editId="0AEA2145">
            <wp:extent cx="5274310" cy="27216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721610"/>
                    </a:xfrm>
                    <a:prstGeom prst="rect">
                      <a:avLst/>
                    </a:prstGeom>
                  </pic:spPr>
                </pic:pic>
              </a:graphicData>
            </a:graphic>
          </wp:inline>
        </w:drawing>
      </w:r>
    </w:p>
    <w:p w14:paraId="3366FE0A" w14:textId="0CA3D0B9" w:rsidR="00AF1D36" w:rsidRDefault="00AF1D36">
      <w:pPr>
        <w:spacing w:line="360" w:lineRule="auto"/>
        <w:rPr>
          <w:rFonts w:ascii="宋体" w:eastAsia="宋体" w:hAnsi="宋体" w:cs="宋体"/>
          <w:sz w:val="24"/>
          <w:szCs w:val="24"/>
        </w:rPr>
      </w:pPr>
    </w:p>
    <w:p w14:paraId="112CA2C6" w14:textId="77777777" w:rsidR="00AF1D36" w:rsidRPr="006346B5" w:rsidRDefault="00B27141">
      <w:pPr>
        <w:spacing w:line="360" w:lineRule="auto"/>
        <w:rPr>
          <w:rFonts w:ascii="宋体" w:eastAsia="宋体" w:hAnsi="宋体" w:cs="宋体"/>
          <w:b/>
          <w:bCs/>
          <w:sz w:val="24"/>
          <w:szCs w:val="24"/>
        </w:rPr>
      </w:pPr>
      <w:r w:rsidRPr="006346B5">
        <w:rPr>
          <w:rFonts w:ascii="宋体" w:eastAsia="宋体" w:hAnsi="宋体" w:cs="宋体" w:hint="eastAsia"/>
          <w:b/>
          <w:bCs/>
          <w:sz w:val="24"/>
          <w:szCs w:val="24"/>
        </w:rPr>
        <w:t>数据采集</w:t>
      </w:r>
    </w:p>
    <w:p w14:paraId="786D30EF" w14:textId="1345F3A5"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2012年1月至2017年12月期间，所有因任何原因发生 IHCA 或 OHCA 的患者均被纳入机构数据库。仅考虑入住 ICU的患者，因为对于OHCA的CPR期间现场死亡或在没有入住ICU的病房中死亡的患者， 恢复</w:t>
      </w:r>
      <w:r w:rsidR="004C3DCC">
        <w:rPr>
          <w:rFonts w:ascii="宋体" w:eastAsia="宋体" w:hAnsi="宋体" w:cs="宋体" w:hint="eastAsia"/>
          <w:sz w:val="24"/>
          <w:szCs w:val="24"/>
        </w:rPr>
        <w:t>自发</w:t>
      </w:r>
      <w:r>
        <w:rPr>
          <w:rFonts w:ascii="宋体" w:eastAsia="宋体" w:hAnsi="宋体" w:cs="宋体" w:hint="eastAsia"/>
          <w:sz w:val="24"/>
          <w:szCs w:val="24"/>
        </w:rPr>
        <w:t>循环前的数据缺失。在心脏骤停之前不接受抢救的患者和在到达医院之前宣布死亡的患者也被排除在外。使用机构 ECMO 数据库对 ECPR 的使用进行了交叉检查。</w:t>
      </w:r>
    </w:p>
    <w:p w14:paraId="0FFB4B12" w14:textId="30AEA063"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记录区分为 ECPR 或 CCPR。包括人口统计学和合并症（即高血压、糖尿病、呼吸系统疾病、缺血性心脏病史、先前存在心脏或肾功能衰竭、肝硬化或既往神经系统疾病，这些疾病可能导致认知或其他神经血管障碍）。还记录了复苏因素：心脏骤停的</w:t>
      </w:r>
      <w:r w:rsidR="009002CC">
        <w:rPr>
          <w:rFonts w:ascii="宋体" w:eastAsia="宋体" w:hAnsi="宋体" w:cs="宋体" w:hint="eastAsia"/>
          <w:sz w:val="24"/>
          <w:szCs w:val="24"/>
        </w:rPr>
        <w:t>地点</w:t>
      </w:r>
      <w:r>
        <w:rPr>
          <w:rFonts w:ascii="宋体" w:eastAsia="宋体" w:hAnsi="宋体" w:cs="宋体" w:hint="eastAsia"/>
          <w:sz w:val="24"/>
          <w:szCs w:val="24"/>
        </w:rPr>
        <w:t>和原因、救援队报告的主要心律、有目击者的骤停、旁观者 CPR 和肾上腺素剂量。 ROSC时间定义为 CCPR中的恢复循环时间、ECPR中实施ECMO的时间以及尝试复苏停止时的死亡时间。对于达到 ROSC、入住ICU时的乳酸水平、使用血管加压药或肾脏替代疗法 (RRT) 和大量出血（定义为</w:t>
      </w:r>
      <w:r w:rsidR="00BE76FC">
        <w:rPr>
          <w:rFonts w:ascii="宋体" w:eastAsia="宋体" w:hAnsi="宋体" w:cs="宋体" w:hint="eastAsia"/>
          <w:sz w:val="24"/>
          <w:szCs w:val="24"/>
        </w:rPr>
        <w:t>因血红蛋白降低了2g/dL而</w:t>
      </w:r>
      <w:r>
        <w:rPr>
          <w:rFonts w:ascii="宋体" w:eastAsia="宋体" w:hAnsi="宋体" w:cs="宋体" w:hint="eastAsia"/>
          <w:sz w:val="24"/>
          <w:szCs w:val="24"/>
        </w:rPr>
        <w:t>在24小时内使用至少4个红细胞单位）进行了记录。死因分为“神经性”（即脑死亡或严重缺氧后脑损伤）或“心脏/多器官衰竭”（即严重心源性休克、ECPR后</w:t>
      </w:r>
      <w:r w:rsidR="00E1313A">
        <w:rPr>
          <w:rFonts w:ascii="宋体" w:eastAsia="宋体" w:hAnsi="宋体" w:cs="宋体" w:hint="eastAsia"/>
          <w:sz w:val="24"/>
          <w:szCs w:val="24"/>
        </w:rPr>
        <w:t>心功能</w:t>
      </w:r>
      <w:r>
        <w:rPr>
          <w:rFonts w:ascii="宋体" w:eastAsia="宋体" w:hAnsi="宋体" w:cs="宋体" w:hint="eastAsia"/>
          <w:sz w:val="24"/>
          <w:szCs w:val="24"/>
        </w:rPr>
        <w:t>无恢复或多器官衰竭）。两项主要研究</w:t>
      </w:r>
      <w:r w:rsidR="00E1313A">
        <w:rPr>
          <w:rFonts w:ascii="宋体" w:eastAsia="宋体" w:hAnsi="宋体" w:cs="宋体" w:hint="eastAsia"/>
          <w:sz w:val="24"/>
          <w:szCs w:val="24"/>
        </w:rPr>
        <w:t>结局指标</w:t>
      </w:r>
      <w:r>
        <w:rPr>
          <w:rFonts w:ascii="宋体" w:eastAsia="宋体" w:hAnsi="宋体" w:cs="宋体" w:hint="eastAsia"/>
          <w:sz w:val="24"/>
          <w:szCs w:val="24"/>
        </w:rPr>
        <w:t>是 ICU 出院存活率和心脏骤停后 3个月的良好神经学结果，</w:t>
      </w:r>
      <w:r w:rsidR="00285FDD">
        <w:rPr>
          <w:rFonts w:ascii="宋体" w:eastAsia="宋体" w:hAnsi="宋体" w:cs="宋体" w:hint="eastAsia"/>
          <w:sz w:val="24"/>
          <w:szCs w:val="24"/>
        </w:rPr>
        <w:t>后者</w:t>
      </w:r>
      <w:r>
        <w:rPr>
          <w:rFonts w:ascii="宋体" w:eastAsia="宋体" w:hAnsi="宋体" w:cs="宋体" w:hint="eastAsia"/>
          <w:sz w:val="24"/>
          <w:szCs w:val="24"/>
        </w:rPr>
        <w:t>使用脑功能分类 (CPC) 量表进行评估：具体而言，1 或 2 分被认为</w:t>
      </w:r>
      <w:r w:rsidR="00285FDD">
        <w:rPr>
          <w:rFonts w:ascii="宋体" w:eastAsia="宋体" w:hAnsi="宋体" w:cs="宋体" w:hint="eastAsia"/>
          <w:sz w:val="24"/>
          <w:szCs w:val="24"/>
        </w:rPr>
        <w:t>良好神经学</w:t>
      </w:r>
      <w:r>
        <w:rPr>
          <w:rFonts w:ascii="宋体" w:eastAsia="宋体" w:hAnsi="宋体" w:cs="宋体" w:hint="eastAsia"/>
          <w:sz w:val="24"/>
          <w:szCs w:val="24"/>
        </w:rPr>
        <w:t>结果，3</w:t>
      </w:r>
      <w:r w:rsidR="00285FDD">
        <w:rPr>
          <w:rFonts w:ascii="宋体" w:eastAsia="宋体" w:hAnsi="宋体" w:cs="宋体" w:hint="eastAsia"/>
          <w:sz w:val="24"/>
          <w:szCs w:val="24"/>
        </w:rPr>
        <w:t>-</w:t>
      </w:r>
      <w:r w:rsidR="00285FDD">
        <w:rPr>
          <w:rFonts w:ascii="宋体" w:eastAsia="宋体" w:hAnsi="宋体" w:cs="宋体"/>
          <w:sz w:val="24"/>
          <w:szCs w:val="24"/>
        </w:rPr>
        <w:t>5</w:t>
      </w:r>
      <w:r>
        <w:rPr>
          <w:rFonts w:ascii="宋体" w:eastAsia="宋体" w:hAnsi="宋体" w:cs="宋体" w:hint="eastAsia"/>
          <w:sz w:val="24"/>
          <w:szCs w:val="24"/>
        </w:rPr>
        <w:t>分被认为</w:t>
      </w:r>
      <w:r w:rsidR="00285FDD">
        <w:rPr>
          <w:rFonts w:ascii="宋体" w:eastAsia="宋体" w:hAnsi="宋体" w:cs="宋体" w:hint="eastAsia"/>
          <w:sz w:val="24"/>
          <w:szCs w:val="24"/>
        </w:rPr>
        <w:t>不良的神经</w:t>
      </w:r>
      <w:r w:rsidR="00891D41">
        <w:rPr>
          <w:rFonts w:ascii="宋体" w:eastAsia="宋体" w:hAnsi="宋体" w:cs="宋体" w:hint="eastAsia"/>
          <w:sz w:val="24"/>
          <w:szCs w:val="24"/>
        </w:rPr>
        <w:t>学</w:t>
      </w:r>
      <w:r>
        <w:rPr>
          <w:rFonts w:ascii="宋体" w:eastAsia="宋体" w:hAnsi="宋体" w:cs="宋体" w:hint="eastAsia"/>
          <w:sz w:val="24"/>
          <w:szCs w:val="24"/>
        </w:rPr>
        <w:t>结果或死亡。还记录了死亡时间。</w:t>
      </w:r>
      <w:r w:rsidR="005449C4">
        <w:rPr>
          <w:rFonts w:ascii="宋体" w:eastAsia="宋体" w:hAnsi="宋体" w:cs="宋体" w:hint="eastAsia"/>
          <w:sz w:val="24"/>
          <w:szCs w:val="24"/>
        </w:rPr>
        <w:t>并</w:t>
      </w:r>
      <w:r>
        <w:rPr>
          <w:rFonts w:ascii="宋体" w:eastAsia="宋体" w:hAnsi="宋体" w:cs="宋体" w:hint="eastAsia"/>
          <w:sz w:val="24"/>
          <w:szCs w:val="24"/>
        </w:rPr>
        <w:t>根据两组</w:t>
      </w:r>
      <w:r w:rsidR="00AE06D4">
        <w:rPr>
          <w:rFonts w:ascii="宋体" w:eastAsia="宋体" w:hAnsi="宋体" w:cs="宋体" w:hint="eastAsia"/>
          <w:sz w:val="24"/>
          <w:szCs w:val="24"/>
        </w:rPr>
        <w:t>不同</w:t>
      </w:r>
      <w:r>
        <w:rPr>
          <w:rFonts w:ascii="宋体" w:eastAsia="宋体" w:hAnsi="宋体" w:cs="宋体" w:hint="eastAsia"/>
          <w:sz w:val="24"/>
          <w:szCs w:val="24"/>
        </w:rPr>
        <w:t xml:space="preserve">的ROSC时间（即 </w:t>
      </w:r>
      <w:r>
        <w:rPr>
          <w:rFonts w:ascii="宋体" w:eastAsia="宋体" w:hAnsi="宋体" w:cs="宋体" w:hint="eastAsia"/>
          <w:sz w:val="24"/>
          <w:szCs w:val="24"/>
        </w:rPr>
        <w:lastRenderedPageBreak/>
        <w:t>&lt; 45 分钟、45-60 分钟和 &gt; 60 分钟）、</w:t>
      </w:r>
      <w:r w:rsidR="009002CC">
        <w:rPr>
          <w:rFonts w:ascii="宋体" w:eastAsia="宋体" w:hAnsi="宋体" w:cs="宋体" w:hint="eastAsia"/>
          <w:sz w:val="24"/>
          <w:szCs w:val="24"/>
        </w:rPr>
        <w:t>心脏</w:t>
      </w:r>
      <w:r>
        <w:rPr>
          <w:rFonts w:ascii="宋体" w:eastAsia="宋体" w:hAnsi="宋体" w:cs="宋体" w:hint="eastAsia"/>
          <w:sz w:val="24"/>
          <w:szCs w:val="24"/>
        </w:rPr>
        <w:t>停搏</w:t>
      </w:r>
      <w:r w:rsidR="009002CC">
        <w:rPr>
          <w:rFonts w:ascii="宋体" w:eastAsia="宋体" w:hAnsi="宋体" w:cs="宋体" w:hint="eastAsia"/>
          <w:sz w:val="24"/>
          <w:szCs w:val="24"/>
        </w:rPr>
        <w:t>地点</w:t>
      </w:r>
      <w:r>
        <w:rPr>
          <w:rFonts w:ascii="宋体" w:eastAsia="宋体" w:hAnsi="宋体" w:cs="宋体" w:hint="eastAsia"/>
          <w:sz w:val="24"/>
          <w:szCs w:val="24"/>
        </w:rPr>
        <w:t>（OHCA 与 IHCA）、初始节律（可电击与不可电击）以及停搏原因（心脏与非心脏）</w:t>
      </w:r>
      <w:r w:rsidR="00572A39">
        <w:rPr>
          <w:rFonts w:ascii="宋体" w:eastAsia="宋体" w:hAnsi="宋体" w:cs="宋体" w:hint="eastAsia"/>
          <w:sz w:val="24"/>
          <w:szCs w:val="24"/>
        </w:rPr>
        <w:t>，对E</w:t>
      </w:r>
      <w:r w:rsidR="00572A39">
        <w:rPr>
          <w:rFonts w:ascii="宋体" w:eastAsia="宋体" w:hAnsi="宋体" w:cs="宋体"/>
          <w:sz w:val="24"/>
          <w:szCs w:val="24"/>
        </w:rPr>
        <w:t>CPR</w:t>
      </w:r>
      <w:r w:rsidR="00572A39">
        <w:rPr>
          <w:rFonts w:ascii="宋体" w:eastAsia="宋体" w:hAnsi="宋体" w:cs="宋体" w:hint="eastAsia"/>
          <w:sz w:val="24"/>
          <w:szCs w:val="24"/>
        </w:rPr>
        <w:t>后生成率和良好的神经学结果进行分析</w:t>
      </w:r>
      <w:r>
        <w:rPr>
          <w:rFonts w:ascii="宋体" w:eastAsia="宋体" w:hAnsi="宋体" w:cs="宋体" w:hint="eastAsia"/>
          <w:sz w:val="24"/>
          <w:szCs w:val="24"/>
        </w:rPr>
        <w:t>。两个次要</w:t>
      </w:r>
      <w:r w:rsidR="00572A39">
        <w:rPr>
          <w:rFonts w:ascii="宋体" w:eastAsia="宋体" w:hAnsi="宋体" w:cs="宋体" w:hint="eastAsia"/>
          <w:sz w:val="24"/>
          <w:szCs w:val="24"/>
        </w:rPr>
        <w:t>结局指标为</w:t>
      </w:r>
      <w:r>
        <w:rPr>
          <w:rFonts w:ascii="宋体" w:eastAsia="宋体" w:hAnsi="宋体" w:cs="宋体" w:hint="eastAsia"/>
          <w:sz w:val="24"/>
          <w:szCs w:val="24"/>
        </w:rPr>
        <w:t>：(a) 持续ROSC率，定义为至少 60分钟不需要额外CPR； (b) 因脑死亡或因不可逆脑损伤和循环死亡</w:t>
      </w:r>
      <w:r w:rsidR="00572A39" w:rsidRPr="006346B5">
        <w:rPr>
          <w:rFonts w:ascii="宋体" w:eastAsia="宋体" w:hAnsi="宋体" w:cs="宋体"/>
          <w:sz w:val="24"/>
          <w:szCs w:val="24"/>
        </w:rPr>
        <w:t>(</w:t>
      </w:r>
      <w:r w:rsidR="00572A39" w:rsidRPr="006346B5">
        <w:rPr>
          <w:rFonts w:ascii="宋体" w:eastAsia="宋体" w:hAnsi="宋体" w:cs="宋体" w:hint="eastAsia"/>
          <w:sz w:val="24"/>
          <w:szCs w:val="24"/>
        </w:rPr>
        <w:t>即《马斯特里赫特条约》定义的第三类</w:t>
      </w:r>
      <w:r w:rsidR="00572A39" w:rsidRPr="006346B5">
        <w:rPr>
          <w:rFonts w:ascii="宋体" w:eastAsia="宋体" w:hAnsi="宋体" w:cs="宋体"/>
          <w:sz w:val="24"/>
          <w:szCs w:val="24"/>
        </w:rPr>
        <w:t>)</w:t>
      </w:r>
      <w:r>
        <w:rPr>
          <w:rFonts w:ascii="宋体" w:eastAsia="宋体" w:hAnsi="宋体" w:cs="宋体" w:hint="eastAsia"/>
          <w:sz w:val="24"/>
          <w:szCs w:val="24"/>
        </w:rPr>
        <w:t>而适合器官捐赠的患者人数。</w:t>
      </w:r>
    </w:p>
    <w:p w14:paraId="05E05DCD" w14:textId="3A028DF4" w:rsidR="00AF1D36" w:rsidRDefault="00AF1D36">
      <w:pPr>
        <w:spacing w:line="360" w:lineRule="auto"/>
        <w:rPr>
          <w:rFonts w:ascii="宋体" w:eastAsia="宋体" w:hAnsi="宋体" w:cs="宋体"/>
          <w:sz w:val="24"/>
          <w:szCs w:val="24"/>
        </w:rPr>
      </w:pPr>
    </w:p>
    <w:p w14:paraId="0B7B4210" w14:textId="77777777" w:rsidR="00AF1D36" w:rsidRPr="00840032" w:rsidRDefault="00B27141">
      <w:pPr>
        <w:spacing w:line="360" w:lineRule="auto"/>
        <w:rPr>
          <w:rFonts w:ascii="宋体" w:eastAsia="宋体" w:hAnsi="宋体" w:cs="宋体"/>
          <w:b/>
          <w:bCs/>
          <w:sz w:val="24"/>
          <w:szCs w:val="24"/>
        </w:rPr>
      </w:pPr>
      <w:r w:rsidRPr="006346B5">
        <w:rPr>
          <w:rFonts w:ascii="宋体" w:eastAsia="宋体" w:hAnsi="宋体" w:cs="宋体" w:hint="eastAsia"/>
          <w:b/>
          <w:bCs/>
          <w:sz w:val="24"/>
          <w:szCs w:val="24"/>
        </w:rPr>
        <w:t>统计分析</w:t>
      </w:r>
    </w:p>
    <w:p w14:paraId="12A22952" w14:textId="5F48DAC8"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为了比较 ECPR 和 CCPR，使用成对匹配程序来减少各组间选择偏差和可能的混杂因素的影响。倾向评分来自非简约逻辑回归模型，该模型包括所有基础院前特征，这些特征在 ECPR 和 CCPR 组之间存在差异。此外，可能与结果相关的其他变量也包括在该模型中。每个患者都被分配了一个反映接受ECPR概率的倾向评分。 ECPR和CCPR</w:t>
      </w:r>
      <w:r w:rsidR="000B2EBC">
        <w:rPr>
          <w:rFonts w:ascii="宋体" w:eastAsia="宋体" w:hAnsi="宋体" w:cs="宋体" w:hint="eastAsia"/>
          <w:sz w:val="24"/>
          <w:szCs w:val="24"/>
        </w:rPr>
        <w:t>病</w:t>
      </w:r>
      <w:r>
        <w:rPr>
          <w:rFonts w:ascii="宋体" w:eastAsia="宋体" w:hAnsi="宋体" w:cs="宋体" w:hint="eastAsia"/>
          <w:sz w:val="24"/>
          <w:szCs w:val="24"/>
        </w:rPr>
        <w:t>例按其倾向评分以 1:1、1:2 和 1:3 的比例进行匹配；选</w:t>
      </w:r>
      <w:r w:rsidR="000B2EBC">
        <w:rPr>
          <w:rFonts w:ascii="宋体" w:eastAsia="宋体" w:hAnsi="宋体" w:cs="宋体" w:hint="eastAsia"/>
          <w:sz w:val="24"/>
          <w:szCs w:val="24"/>
        </w:rPr>
        <w:t>定</w:t>
      </w:r>
      <w:r>
        <w:rPr>
          <w:rFonts w:ascii="宋体" w:eastAsia="宋体" w:hAnsi="宋体" w:cs="宋体" w:hint="eastAsia"/>
          <w:sz w:val="24"/>
          <w:szCs w:val="24"/>
        </w:rPr>
        <w:t>的患者组成1：1</w:t>
      </w:r>
      <w:r w:rsidR="000B2EBC">
        <w:rPr>
          <w:rFonts w:ascii="宋体" w:eastAsia="宋体" w:hAnsi="宋体" w:cs="宋体" w:hint="eastAsia"/>
          <w:sz w:val="24"/>
          <w:szCs w:val="24"/>
        </w:rPr>
        <w:t>队</w:t>
      </w:r>
      <w:r>
        <w:rPr>
          <w:rFonts w:ascii="宋体" w:eastAsia="宋体" w:hAnsi="宋体" w:cs="宋体" w:hint="eastAsia"/>
          <w:sz w:val="24"/>
          <w:szCs w:val="24"/>
        </w:rPr>
        <w:t>对。通过计算所选变量之间的标准化平均差 (SMD) 来评估匹配质量。</w:t>
      </w:r>
    </w:p>
    <w:p w14:paraId="7217E988" w14:textId="0FABBE61"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连续变量表示为平均值±标准差，并使用T检验进行比较。</w:t>
      </w:r>
      <w:r w:rsidR="003E7B17" w:rsidRPr="006346B5">
        <w:rPr>
          <w:rFonts w:ascii="宋体" w:eastAsia="宋体" w:hAnsi="宋体" w:cs="宋体" w:hint="eastAsia"/>
          <w:sz w:val="24"/>
          <w:szCs w:val="24"/>
        </w:rPr>
        <w:t>分类变量，</w:t>
      </w:r>
      <w:r w:rsidR="00051DB1">
        <w:rPr>
          <w:rFonts w:ascii="宋体" w:eastAsia="宋体" w:hAnsi="宋体" w:cs="宋体" w:hint="eastAsia"/>
          <w:sz w:val="24"/>
          <w:szCs w:val="24"/>
        </w:rPr>
        <w:t>如</w:t>
      </w:r>
      <w:r w:rsidR="003E7B17" w:rsidRPr="006346B5">
        <w:rPr>
          <w:rFonts w:ascii="宋体" w:eastAsia="宋体" w:hAnsi="宋体" w:cs="宋体" w:hint="eastAsia"/>
          <w:sz w:val="24"/>
          <w:szCs w:val="24"/>
        </w:rPr>
        <w:t>人口统计数据，采用卡方检验或</w:t>
      </w:r>
      <w:r w:rsidR="003E7B17" w:rsidRPr="006346B5">
        <w:rPr>
          <w:rFonts w:ascii="宋体" w:eastAsia="宋体" w:hAnsi="宋体" w:cs="宋体"/>
          <w:sz w:val="24"/>
          <w:szCs w:val="24"/>
        </w:rPr>
        <w:t>Fisher</w:t>
      </w:r>
      <w:r w:rsidR="003E7B17" w:rsidRPr="006346B5">
        <w:rPr>
          <w:rFonts w:ascii="宋体" w:eastAsia="宋体" w:hAnsi="宋体" w:cs="宋体" w:hint="eastAsia"/>
          <w:sz w:val="24"/>
          <w:szCs w:val="24"/>
        </w:rPr>
        <w:t>精确检验进行比较。</w:t>
      </w:r>
      <w:r>
        <w:rPr>
          <w:rFonts w:ascii="宋体" w:eastAsia="宋体" w:hAnsi="宋体" w:cs="宋体" w:hint="eastAsia"/>
          <w:sz w:val="24"/>
          <w:szCs w:val="24"/>
        </w:rPr>
        <w:t>预后良好定义为从 CPR 到心脏骤停后 3个月恢复的时间，没有良好预后的幸存者在ICU出院时被截止。使用二元数据的条件逻辑回归测试 ECPR 和 CCPR 之间的结果差异。Kaplan-Meier分析图用于比较心脏骤停后3个月内两组中幸存者或预后良好的比例。对ECPR和CCPR之间每个结果（即3个月时的存活率和神经系统预后）发生的时间差异使用分层对数秩检验进行测试，并使用按配对分层的Cox回归分析进行量化。</w:t>
      </w:r>
    </w:p>
    <w:p w14:paraId="6990FCC5" w14:textId="77777777" w:rsidR="00051DB1" w:rsidRPr="00051DB1" w:rsidRDefault="00051DB1" w:rsidP="00A868FE">
      <w:pPr>
        <w:spacing w:line="360" w:lineRule="auto"/>
        <w:rPr>
          <w:rFonts w:ascii="宋体" w:eastAsia="宋体" w:hAnsi="宋体" w:cs="宋体"/>
          <w:sz w:val="24"/>
          <w:szCs w:val="24"/>
        </w:rPr>
      </w:pPr>
    </w:p>
    <w:p w14:paraId="6D960263" w14:textId="64FC790F" w:rsidR="00A868FE" w:rsidRDefault="00A868FE">
      <w:pPr>
        <w:spacing w:line="360" w:lineRule="auto"/>
        <w:rPr>
          <w:rFonts w:ascii="宋体" w:eastAsia="宋体" w:hAnsi="宋体" w:cs="宋体"/>
          <w:b/>
          <w:bCs/>
          <w:sz w:val="28"/>
          <w:szCs w:val="28"/>
        </w:rPr>
      </w:pPr>
      <w:r w:rsidRPr="004D011D">
        <w:rPr>
          <w:rFonts w:ascii="宋体" w:eastAsia="宋体" w:hAnsi="宋体" w:cs="宋体" w:hint="eastAsia"/>
          <w:b/>
          <w:bCs/>
          <w:sz w:val="28"/>
          <w:szCs w:val="28"/>
        </w:rPr>
        <w:t>结果</w:t>
      </w:r>
    </w:p>
    <w:p w14:paraId="44BD2956" w14:textId="6F63C09B" w:rsidR="00AA4955" w:rsidRPr="006346B5" w:rsidRDefault="00AA4955" w:rsidP="006346B5">
      <w:pPr>
        <w:spacing w:line="360" w:lineRule="auto"/>
        <w:rPr>
          <w:rFonts w:ascii="宋体" w:eastAsia="宋体" w:hAnsi="宋体" w:cs="宋体"/>
          <w:b/>
          <w:bCs/>
          <w:sz w:val="28"/>
          <w:szCs w:val="28"/>
        </w:rPr>
      </w:pPr>
      <w:r>
        <w:rPr>
          <w:rFonts w:ascii="宋体" w:eastAsia="宋体" w:hAnsi="宋体" w:cs="宋体" w:hint="eastAsia"/>
          <w:b/>
          <w:bCs/>
          <w:sz w:val="28"/>
          <w:szCs w:val="28"/>
        </w:rPr>
        <w:t>总体研究人群</w:t>
      </w:r>
    </w:p>
    <w:p w14:paraId="1A66EFD5" w14:textId="5AFBFF48" w:rsidR="00AF1D36" w:rsidRDefault="00BC0513" w:rsidP="006346B5">
      <w:pPr>
        <w:spacing w:line="360" w:lineRule="auto"/>
        <w:ind w:firstLineChars="200" w:firstLine="480"/>
        <w:rPr>
          <w:rFonts w:ascii="宋体" w:eastAsia="宋体" w:hAnsi="宋体" w:cs="宋体"/>
          <w:sz w:val="24"/>
          <w:szCs w:val="24"/>
        </w:rPr>
      </w:pPr>
      <w:r w:rsidRPr="006346B5">
        <w:rPr>
          <w:rFonts w:ascii="宋体" w:eastAsia="宋体" w:hAnsi="宋体" w:cs="宋体"/>
          <w:sz w:val="24"/>
          <w:szCs w:val="24"/>
        </w:rPr>
        <w:t>2012</w:t>
      </w:r>
      <w:r w:rsidRPr="006346B5">
        <w:rPr>
          <w:rFonts w:ascii="宋体" w:eastAsia="宋体" w:hAnsi="宋体" w:cs="宋体" w:hint="eastAsia"/>
          <w:sz w:val="24"/>
          <w:szCs w:val="24"/>
        </w:rPr>
        <w:t>年</w:t>
      </w:r>
      <w:r w:rsidRPr="006346B5">
        <w:rPr>
          <w:rFonts w:ascii="宋体" w:eastAsia="宋体" w:hAnsi="宋体" w:cs="宋体"/>
          <w:sz w:val="24"/>
          <w:szCs w:val="24"/>
        </w:rPr>
        <w:t>1</w:t>
      </w:r>
      <w:r w:rsidRPr="006346B5">
        <w:rPr>
          <w:rFonts w:ascii="宋体" w:eastAsia="宋体" w:hAnsi="宋体" w:cs="宋体" w:hint="eastAsia"/>
          <w:sz w:val="24"/>
          <w:szCs w:val="24"/>
        </w:rPr>
        <w:t>月至</w:t>
      </w:r>
      <w:r w:rsidRPr="006346B5">
        <w:rPr>
          <w:rFonts w:ascii="宋体" w:eastAsia="宋体" w:hAnsi="宋体" w:cs="宋体"/>
          <w:sz w:val="24"/>
          <w:szCs w:val="24"/>
        </w:rPr>
        <w:t>2017</w:t>
      </w:r>
      <w:r w:rsidRPr="006346B5">
        <w:rPr>
          <w:rFonts w:ascii="宋体" w:eastAsia="宋体" w:hAnsi="宋体" w:cs="宋体" w:hint="eastAsia"/>
          <w:sz w:val="24"/>
          <w:szCs w:val="24"/>
        </w:rPr>
        <w:t>年</w:t>
      </w:r>
      <w:r w:rsidRPr="006346B5">
        <w:rPr>
          <w:rFonts w:ascii="宋体" w:eastAsia="宋体" w:hAnsi="宋体" w:cs="宋体"/>
          <w:sz w:val="24"/>
          <w:szCs w:val="24"/>
        </w:rPr>
        <w:t>12</w:t>
      </w:r>
      <w:r w:rsidRPr="006346B5">
        <w:rPr>
          <w:rFonts w:ascii="宋体" w:eastAsia="宋体" w:hAnsi="宋体" w:cs="宋体" w:hint="eastAsia"/>
          <w:sz w:val="24"/>
          <w:szCs w:val="24"/>
        </w:rPr>
        <w:t>月，共</w:t>
      </w:r>
      <w:r w:rsidRPr="006346B5">
        <w:rPr>
          <w:rFonts w:ascii="宋体" w:eastAsia="宋体" w:hAnsi="宋体" w:cs="宋体"/>
          <w:sz w:val="24"/>
          <w:szCs w:val="24"/>
        </w:rPr>
        <w:t>635</w:t>
      </w:r>
      <w:r w:rsidRPr="006346B5">
        <w:rPr>
          <w:rFonts w:ascii="宋体" w:eastAsia="宋体" w:hAnsi="宋体" w:cs="宋体" w:hint="eastAsia"/>
          <w:sz w:val="24"/>
          <w:szCs w:val="24"/>
        </w:rPr>
        <w:t>例患者在</w:t>
      </w:r>
      <w:r w:rsidRPr="006346B5">
        <w:rPr>
          <w:rFonts w:ascii="宋体" w:eastAsia="宋体" w:hAnsi="宋体" w:cs="宋体"/>
          <w:sz w:val="24"/>
          <w:szCs w:val="24"/>
        </w:rPr>
        <w:t>CA</w:t>
      </w:r>
      <w:r w:rsidRPr="006346B5">
        <w:rPr>
          <w:rFonts w:ascii="宋体" w:eastAsia="宋体" w:hAnsi="宋体" w:cs="宋体" w:hint="eastAsia"/>
          <w:sz w:val="24"/>
          <w:szCs w:val="24"/>
        </w:rPr>
        <w:t>后入院，</w:t>
      </w:r>
      <w:r w:rsidRPr="006346B5">
        <w:rPr>
          <w:rFonts w:ascii="宋体" w:eastAsia="宋体" w:hAnsi="宋体" w:cs="宋体"/>
          <w:sz w:val="24"/>
          <w:szCs w:val="24"/>
        </w:rPr>
        <w:t>ECPR</w:t>
      </w:r>
      <w:r w:rsidRPr="006346B5">
        <w:rPr>
          <w:rFonts w:ascii="宋体" w:eastAsia="宋体" w:hAnsi="宋体" w:cs="宋体" w:hint="eastAsia"/>
          <w:sz w:val="24"/>
          <w:szCs w:val="24"/>
        </w:rPr>
        <w:t>组</w:t>
      </w:r>
      <w:r w:rsidRPr="006346B5">
        <w:rPr>
          <w:rFonts w:ascii="宋体" w:eastAsia="宋体" w:hAnsi="宋体" w:cs="宋体"/>
          <w:sz w:val="24"/>
          <w:szCs w:val="24"/>
        </w:rPr>
        <w:t>112</w:t>
      </w:r>
      <w:r w:rsidRPr="006346B5">
        <w:rPr>
          <w:rFonts w:ascii="宋体" w:eastAsia="宋体" w:hAnsi="宋体" w:cs="宋体" w:hint="eastAsia"/>
          <w:sz w:val="24"/>
          <w:szCs w:val="24"/>
        </w:rPr>
        <w:t>例，</w:t>
      </w:r>
      <w:r w:rsidRPr="006346B5">
        <w:rPr>
          <w:rFonts w:ascii="宋体" w:eastAsia="宋体" w:hAnsi="宋体" w:cs="宋体"/>
          <w:sz w:val="24"/>
          <w:szCs w:val="24"/>
        </w:rPr>
        <w:t>CCPR</w:t>
      </w:r>
      <w:r w:rsidRPr="006346B5">
        <w:rPr>
          <w:rFonts w:ascii="宋体" w:eastAsia="宋体" w:hAnsi="宋体" w:cs="宋体" w:hint="eastAsia"/>
          <w:sz w:val="24"/>
          <w:szCs w:val="24"/>
        </w:rPr>
        <w:t>组</w:t>
      </w:r>
      <w:r w:rsidRPr="006346B5">
        <w:rPr>
          <w:rFonts w:ascii="宋体" w:eastAsia="宋体" w:hAnsi="宋体" w:cs="宋体"/>
          <w:sz w:val="24"/>
          <w:szCs w:val="24"/>
        </w:rPr>
        <w:t>523</w:t>
      </w:r>
      <w:r w:rsidRPr="006346B5">
        <w:rPr>
          <w:rFonts w:ascii="宋体" w:eastAsia="宋体" w:hAnsi="宋体" w:cs="宋体" w:hint="eastAsia"/>
          <w:sz w:val="24"/>
          <w:szCs w:val="24"/>
        </w:rPr>
        <w:t>例</w:t>
      </w:r>
      <w:r w:rsidRPr="006346B5">
        <w:rPr>
          <w:rFonts w:ascii="宋体" w:eastAsia="宋体" w:hAnsi="宋体" w:cs="宋体"/>
          <w:sz w:val="24"/>
          <w:szCs w:val="24"/>
        </w:rPr>
        <w:t>(</w:t>
      </w:r>
      <w:r w:rsidRPr="006346B5">
        <w:rPr>
          <w:rFonts w:ascii="宋体" w:eastAsia="宋体" w:hAnsi="宋体" w:cs="宋体" w:hint="eastAsia"/>
          <w:sz w:val="24"/>
          <w:szCs w:val="24"/>
        </w:rPr>
        <w:t>图</w:t>
      </w:r>
      <w:r w:rsidRPr="006346B5">
        <w:rPr>
          <w:rFonts w:ascii="宋体" w:eastAsia="宋体" w:hAnsi="宋体" w:cs="宋体"/>
          <w:sz w:val="24"/>
          <w:szCs w:val="24"/>
        </w:rPr>
        <w:t>1)</w:t>
      </w:r>
      <w:r w:rsidRPr="006346B5">
        <w:rPr>
          <w:rFonts w:ascii="宋体" w:eastAsia="宋体" w:hAnsi="宋体" w:cs="宋体" w:hint="eastAsia"/>
          <w:sz w:val="24"/>
          <w:szCs w:val="24"/>
        </w:rPr>
        <w:t>。两组基线特征见表</w:t>
      </w:r>
      <w:r w:rsidRPr="006346B5">
        <w:rPr>
          <w:rFonts w:ascii="宋体" w:eastAsia="宋体" w:hAnsi="宋体" w:cs="宋体"/>
          <w:sz w:val="24"/>
          <w:szCs w:val="24"/>
        </w:rPr>
        <w:t>1</w:t>
      </w:r>
      <w:r w:rsidRPr="006346B5">
        <w:rPr>
          <w:rFonts w:ascii="宋体" w:eastAsia="宋体" w:hAnsi="宋体" w:cs="宋体" w:hint="eastAsia"/>
          <w:sz w:val="24"/>
          <w:szCs w:val="24"/>
        </w:rPr>
        <w:t>。</w:t>
      </w:r>
      <w:r w:rsidRPr="006346B5">
        <w:rPr>
          <w:rFonts w:ascii="宋体" w:eastAsia="宋体" w:hAnsi="宋体" w:cs="宋体"/>
          <w:sz w:val="24"/>
          <w:szCs w:val="24"/>
        </w:rPr>
        <w:t>ECPR</w:t>
      </w:r>
      <w:r w:rsidRPr="006346B5">
        <w:rPr>
          <w:rFonts w:ascii="宋体" w:eastAsia="宋体" w:hAnsi="宋体" w:cs="宋体" w:hint="eastAsia"/>
          <w:sz w:val="24"/>
          <w:szCs w:val="24"/>
        </w:rPr>
        <w:t>组患者入院时均行</w:t>
      </w:r>
      <w:r w:rsidRPr="006346B5">
        <w:rPr>
          <w:rFonts w:ascii="宋体" w:eastAsia="宋体" w:hAnsi="宋体" w:cs="宋体"/>
          <w:sz w:val="24"/>
          <w:szCs w:val="24"/>
        </w:rPr>
        <w:t>ECMO</w:t>
      </w:r>
      <w:r w:rsidRPr="006346B5">
        <w:rPr>
          <w:rFonts w:ascii="宋体" w:eastAsia="宋体" w:hAnsi="宋体" w:cs="宋体" w:hint="eastAsia"/>
          <w:sz w:val="24"/>
          <w:szCs w:val="24"/>
        </w:rPr>
        <w:t>插管。接受</w:t>
      </w:r>
      <w:r w:rsidRPr="006346B5">
        <w:rPr>
          <w:rFonts w:ascii="宋体" w:eastAsia="宋体" w:hAnsi="宋体" w:cs="宋体"/>
          <w:sz w:val="24"/>
          <w:szCs w:val="24"/>
        </w:rPr>
        <w:t>ECPR</w:t>
      </w:r>
      <w:r w:rsidRPr="006346B5">
        <w:rPr>
          <w:rFonts w:ascii="宋体" w:eastAsia="宋体" w:hAnsi="宋体" w:cs="宋体" w:hint="eastAsia"/>
          <w:sz w:val="24"/>
          <w:szCs w:val="24"/>
        </w:rPr>
        <w:t>的患者较年轻，既往神经系统疾病、高血压、慢性阻塞性肺病</w:t>
      </w:r>
      <w:r w:rsidRPr="006346B5">
        <w:rPr>
          <w:rFonts w:ascii="宋体" w:eastAsia="宋体" w:hAnsi="宋体" w:cs="宋体"/>
          <w:sz w:val="24"/>
          <w:szCs w:val="24"/>
        </w:rPr>
        <w:t>(COPD)</w:t>
      </w:r>
      <w:r w:rsidRPr="006346B5">
        <w:rPr>
          <w:rFonts w:ascii="宋体" w:eastAsia="宋体" w:hAnsi="宋体" w:cs="宋体" w:hint="eastAsia"/>
          <w:sz w:val="24"/>
          <w:szCs w:val="24"/>
        </w:rPr>
        <w:t>、哮喘或糖尿病的可能性较小</w:t>
      </w:r>
      <w:r w:rsidR="005B1538">
        <w:rPr>
          <w:rFonts w:ascii="宋体" w:eastAsia="宋体" w:hAnsi="宋体" w:cs="宋体" w:hint="eastAsia"/>
          <w:sz w:val="24"/>
          <w:szCs w:val="24"/>
        </w:rPr>
        <w:t>， 而</w:t>
      </w:r>
      <w:r w:rsidRPr="006346B5">
        <w:rPr>
          <w:rFonts w:ascii="宋体" w:eastAsia="宋体" w:hAnsi="宋体" w:cs="宋体" w:hint="eastAsia"/>
          <w:sz w:val="24"/>
          <w:szCs w:val="24"/>
        </w:rPr>
        <w:t>目击</w:t>
      </w:r>
      <w:r w:rsidR="005B1538">
        <w:rPr>
          <w:rFonts w:ascii="宋体" w:eastAsia="宋体" w:hAnsi="宋体" w:cs="宋体" w:hint="eastAsia"/>
          <w:sz w:val="24"/>
          <w:szCs w:val="24"/>
        </w:rPr>
        <w:t>者</w:t>
      </w:r>
      <w:r w:rsidRPr="006346B5">
        <w:rPr>
          <w:rFonts w:ascii="宋体" w:eastAsia="宋体" w:hAnsi="宋体" w:cs="宋体"/>
          <w:sz w:val="24"/>
          <w:szCs w:val="24"/>
        </w:rPr>
        <w:t>CA</w:t>
      </w:r>
      <w:r w:rsidRPr="006346B5">
        <w:rPr>
          <w:rFonts w:ascii="宋体" w:eastAsia="宋体" w:hAnsi="宋体" w:cs="宋体" w:hint="eastAsia"/>
          <w:sz w:val="24"/>
          <w:szCs w:val="24"/>
        </w:rPr>
        <w:t>和</w:t>
      </w:r>
      <w:r w:rsidR="005B1538">
        <w:rPr>
          <w:rFonts w:ascii="宋体" w:eastAsia="宋体" w:hAnsi="宋体" w:cs="宋体" w:hint="eastAsia"/>
          <w:sz w:val="24"/>
          <w:szCs w:val="24"/>
        </w:rPr>
        <w:t>心源性C</w:t>
      </w:r>
      <w:r w:rsidR="005B1538">
        <w:rPr>
          <w:rFonts w:ascii="宋体" w:eastAsia="宋体" w:hAnsi="宋体" w:cs="宋体"/>
          <w:sz w:val="24"/>
          <w:szCs w:val="24"/>
        </w:rPr>
        <w:t>A</w:t>
      </w:r>
      <w:r w:rsidR="005B1538">
        <w:rPr>
          <w:rFonts w:ascii="宋体" w:eastAsia="宋体" w:hAnsi="宋体" w:cs="宋体" w:hint="eastAsia"/>
          <w:sz w:val="24"/>
          <w:szCs w:val="24"/>
        </w:rPr>
        <w:t>的概率更高</w:t>
      </w:r>
      <w:r w:rsidRPr="006346B5">
        <w:rPr>
          <w:rFonts w:ascii="宋体" w:eastAsia="宋体" w:hAnsi="宋体" w:cs="宋体" w:hint="eastAsia"/>
          <w:sz w:val="24"/>
          <w:szCs w:val="24"/>
        </w:rPr>
        <w:t>。这些患者</w:t>
      </w:r>
      <w:r w:rsidRPr="006346B5">
        <w:rPr>
          <w:rFonts w:ascii="宋体" w:eastAsia="宋体" w:hAnsi="宋体" w:cs="宋体" w:hint="eastAsia"/>
          <w:sz w:val="24"/>
          <w:szCs w:val="24"/>
        </w:rPr>
        <w:lastRenderedPageBreak/>
        <w:t>的</w:t>
      </w:r>
      <w:r w:rsidRPr="006346B5">
        <w:rPr>
          <w:rFonts w:ascii="宋体" w:eastAsia="宋体" w:hAnsi="宋体" w:cs="宋体"/>
          <w:sz w:val="24"/>
          <w:szCs w:val="24"/>
        </w:rPr>
        <w:t>ROSC</w:t>
      </w:r>
      <w:r w:rsidRPr="006346B5">
        <w:rPr>
          <w:rFonts w:ascii="宋体" w:eastAsia="宋体" w:hAnsi="宋体" w:cs="宋体" w:hint="eastAsia"/>
          <w:sz w:val="24"/>
          <w:szCs w:val="24"/>
        </w:rPr>
        <w:t>率也高于</w:t>
      </w:r>
      <w:r w:rsidRPr="006346B5">
        <w:rPr>
          <w:rFonts w:ascii="宋体" w:eastAsia="宋体" w:hAnsi="宋体" w:cs="宋体"/>
          <w:sz w:val="24"/>
          <w:szCs w:val="24"/>
        </w:rPr>
        <w:t>CCPR</w:t>
      </w:r>
      <w:r w:rsidRPr="006346B5">
        <w:rPr>
          <w:rFonts w:ascii="宋体" w:eastAsia="宋体" w:hAnsi="宋体" w:cs="宋体" w:hint="eastAsia"/>
          <w:sz w:val="24"/>
          <w:szCs w:val="24"/>
        </w:rPr>
        <w:t>患者。</w:t>
      </w:r>
      <w:r w:rsidRPr="006346B5">
        <w:rPr>
          <w:rFonts w:ascii="宋体" w:eastAsia="宋体" w:hAnsi="宋体" w:cs="宋体"/>
          <w:sz w:val="24"/>
          <w:szCs w:val="24"/>
        </w:rPr>
        <w:t>ECPR</w:t>
      </w:r>
      <w:r w:rsidRPr="006346B5">
        <w:rPr>
          <w:rFonts w:ascii="宋体" w:eastAsia="宋体" w:hAnsi="宋体" w:cs="宋体" w:hint="eastAsia"/>
          <w:sz w:val="24"/>
          <w:szCs w:val="24"/>
        </w:rPr>
        <w:t>组</w:t>
      </w:r>
      <w:r w:rsidR="005B1538">
        <w:rPr>
          <w:rFonts w:ascii="宋体" w:eastAsia="宋体" w:hAnsi="宋体" w:cs="宋体" w:hint="eastAsia"/>
          <w:sz w:val="24"/>
          <w:szCs w:val="24"/>
        </w:rPr>
        <w:t>恢复自发循环</w:t>
      </w:r>
      <w:r w:rsidRPr="006346B5">
        <w:rPr>
          <w:rFonts w:ascii="宋体" w:eastAsia="宋体" w:hAnsi="宋体" w:cs="宋体" w:hint="eastAsia"/>
          <w:sz w:val="24"/>
          <w:szCs w:val="24"/>
        </w:rPr>
        <w:t>的时间长于</w:t>
      </w:r>
      <w:r w:rsidRPr="006346B5">
        <w:rPr>
          <w:rFonts w:ascii="宋体" w:eastAsia="宋体" w:hAnsi="宋体" w:cs="宋体"/>
          <w:sz w:val="24"/>
          <w:szCs w:val="24"/>
        </w:rPr>
        <w:t>CCPR</w:t>
      </w:r>
      <w:r w:rsidRPr="006346B5">
        <w:rPr>
          <w:rFonts w:ascii="宋体" w:eastAsia="宋体" w:hAnsi="宋体" w:cs="宋体" w:hint="eastAsia"/>
          <w:sz w:val="24"/>
          <w:szCs w:val="24"/>
        </w:rPr>
        <w:t>组。两组患者的生存率和</w:t>
      </w:r>
      <w:r w:rsidRPr="006346B5">
        <w:rPr>
          <w:rFonts w:ascii="宋体" w:eastAsia="宋体" w:hAnsi="宋体" w:cs="宋体"/>
          <w:sz w:val="24"/>
          <w:szCs w:val="24"/>
        </w:rPr>
        <w:t>3</w:t>
      </w:r>
      <w:r w:rsidRPr="006346B5">
        <w:rPr>
          <w:rFonts w:ascii="宋体" w:eastAsia="宋体" w:hAnsi="宋体" w:cs="宋体" w:hint="eastAsia"/>
          <w:sz w:val="24"/>
          <w:szCs w:val="24"/>
        </w:rPr>
        <w:t>个月的</w:t>
      </w:r>
      <w:r w:rsidR="005B1538">
        <w:rPr>
          <w:rFonts w:ascii="宋体" w:eastAsia="宋体" w:hAnsi="宋体" w:cs="宋体" w:hint="eastAsia"/>
          <w:sz w:val="24"/>
          <w:szCs w:val="24"/>
        </w:rPr>
        <w:t>良好预后的发生率</w:t>
      </w:r>
      <w:r w:rsidRPr="006346B5">
        <w:rPr>
          <w:rFonts w:ascii="宋体" w:eastAsia="宋体" w:hAnsi="宋体" w:cs="宋体" w:hint="eastAsia"/>
          <w:sz w:val="24"/>
          <w:szCs w:val="24"/>
        </w:rPr>
        <w:t>相似</w:t>
      </w:r>
      <w:r w:rsidRPr="006346B5">
        <w:rPr>
          <w:rFonts w:ascii="宋体" w:eastAsia="宋体" w:hAnsi="宋体" w:cs="宋体"/>
          <w:sz w:val="24"/>
          <w:szCs w:val="24"/>
        </w:rPr>
        <w:t>(</w:t>
      </w:r>
      <w:r w:rsidRPr="006346B5">
        <w:rPr>
          <w:rFonts w:ascii="宋体" w:eastAsia="宋体" w:hAnsi="宋体" w:cs="宋体" w:hint="eastAsia"/>
          <w:sz w:val="24"/>
          <w:szCs w:val="24"/>
        </w:rPr>
        <w:t>分别为</w:t>
      </w:r>
      <w:r w:rsidRPr="006346B5">
        <w:rPr>
          <w:rFonts w:ascii="宋体" w:eastAsia="宋体" w:hAnsi="宋体" w:cs="宋体"/>
          <w:sz w:val="24"/>
          <w:szCs w:val="24"/>
        </w:rPr>
        <w:t>21% vs. 27%</w:t>
      </w:r>
      <w:r w:rsidRPr="006346B5">
        <w:rPr>
          <w:rFonts w:ascii="宋体" w:eastAsia="宋体" w:hAnsi="宋体" w:cs="宋体" w:hint="eastAsia"/>
          <w:sz w:val="24"/>
          <w:szCs w:val="24"/>
        </w:rPr>
        <w:t>和</w:t>
      </w:r>
      <w:r w:rsidRPr="006346B5">
        <w:rPr>
          <w:rFonts w:ascii="宋体" w:eastAsia="宋体" w:hAnsi="宋体" w:cs="宋体"/>
          <w:sz w:val="24"/>
          <w:szCs w:val="24"/>
        </w:rPr>
        <w:t>16% vs. 20%)</w:t>
      </w:r>
      <w:r w:rsidRPr="006346B5">
        <w:rPr>
          <w:rFonts w:ascii="宋体" w:eastAsia="宋体" w:hAnsi="宋体" w:cs="宋体" w:hint="eastAsia"/>
          <w:sz w:val="24"/>
          <w:szCs w:val="24"/>
        </w:rPr>
        <w:t>。</w:t>
      </w:r>
    </w:p>
    <w:p w14:paraId="27630A78" w14:textId="13A0A56A" w:rsidR="00AF1D36" w:rsidRDefault="00AF1D36">
      <w:pPr>
        <w:spacing w:line="360" w:lineRule="auto"/>
        <w:rPr>
          <w:rFonts w:ascii="宋体" w:eastAsia="宋体" w:hAnsi="宋体" w:cs="宋体"/>
          <w:sz w:val="24"/>
          <w:szCs w:val="24"/>
        </w:rPr>
      </w:pPr>
    </w:p>
    <w:p w14:paraId="286B3D91" w14:textId="1F548757" w:rsidR="003F50DD" w:rsidRDefault="00CF4101">
      <w:pPr>
        <w:spacing w:line="360" w:lineRule="auto"/>
        <w:rPr>
          <w:rFonts w:ascii="宋体" w:eastAsia="宋体" w:hAnsi="宋体" w:cs="宋体"/>
          <w:b/>
          <w:bCs/>
          <w:sz w:val="24"/>
          <w:szCs w:val="24"/>
        </w:rPr>
      </w:pPr>
      <w:r>
        <w:rPr>
          <w:rFonts w:ascii="宋体" w:eastAsia="宋体" w:hAnsi="宋体" w:cs="宋体" w:hint="eastAsia"/>
          <w:noProof/>
          <w:sz w:val="24"/>
          <w:szCs w:val="24"/>
        </w:rPr>
        <w:drawing>
          <wp:inline distT="0" distB="0" distL="0" distR="0" wp14:anchorId="08D8DB7E" wp14:editId="4BAA166A">
            <wp:extent cx="5274310" cy="40805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4080510"/>
                    </a:xfrm>
                    <a:prstGeom prst="rect">
                      <a:avLst/>
                    </a:prstGeom>
                  </pic:spPr>
                </pic:pic>
              </a:graphicData>
            </a:graphic>
          </wp:inline>
        </w:drawing>
      </w:r>
    </w:p>
    <w:p w14:paraId="4D929340" w14:textId="77777777" w:rsidR="00CF4101" w:rsidRDefault="00CF4101">
      <w:pPr>
        <w:spacing w:line="360" w:lineRule="auto"/>
        <w:rPr>
          <w:rFonts w:ascii="宋体" w:eastAsia="宋体" w:hAnsi="宋体" w:cs="宋体"/>
          <w:b/>
          <w:bCs/>
          <w:sz w:val="24"/>
          <w:szCs w:val="24"/>
        </w:rPr>
      </w:pPr>
    </w:p>
    <w:p w14:paraId="11212CF9" w14:textId="15DEC524" w:rsidR="00CF4101" w:rsidRDefault="00CF4101">
      <w:pPr>
        <w:spacing w:line="360" w:lineRule="auto"/>
        <w:rPr>
          <w:rFonts w:ascii="宋体" w:eastAsia="宋体" w:hAnsi="宋体" w:cs="宋体"/>
          <w:b/>
          <w:bCs/>
          <w:sz w:val="24"/>
          <w:szCs w:val="24"/>
        </w:rPr>
      </w:pPr>
      <w:r>
        <w:rPr>
          <w:rFonts w:ascii="宋体" w:eastAsia="宋体" w:hAnsi="宋体" w:cs="宋体" w:hint="eastAsia"/>
          <w:noProof/>
          <w:sz w:val="24"/>
          <w:szCs w:val="24"/>
        </w:rPr>
        <w:lastRenderedPageBreak/>
        <w:drawing>
          <wp:inline distT="0" distB="0" distL="0" distR="0" wp14:anchorId="1E3DA98E" wp14:editId="68A3DDA0">
            <wp:extent cx="5274310" cy="58293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5829300"/>
                    </a:xfrm>
                    <a:prstGeom prst="rect">
                      <a:avLst/>
                    </a:prstGeom>
                  </pic:spPr>
                </pic:pic>
              </a:graphicData>
            </a:graphic>
          </wp:inline>
        </w:drawing>
      </w:r>
    </w:p>
    <w:p w14:paraId="2DAE617D" w14:textId="77777777" w:rsidR="00CF4101" w:rsidRDefault="00CF4101">
      <w:pPr>
        <w:spacing w:line="360" w:lineRule="auto"/>
        <w:rPr>
          <w:rFonts w:ascii="宋体" w:eastAsia="宋体" w:hAnsi="宋体" w:cs="宋体"/>
          <w:b/>
          <w:bCs/>
          <w:sz w:val="24"/>
          <w:szCs w:val="24"/>
        </w:rPr>
      </w:pPr>
    </w:p>
    <w:p w14:paraId="1D95690D" w14:textId="40C70241" w:rsidR="00AF1D36" w:rsidRDefault="00B27141">
      <w:pPr>
        <w:spacing w:line="360" w:lineRule="auto"/>
        <w:rPr>
          <w:rFonts w:ascii="宋体" w:eastAsia="宋体" w:hAnsi="宋体" w:cs="宋体"/>
          <w:b/>
          <w:bCs/>
          <w:sz w:val="24"/>
          <w:szCs w:val="24"/>
        </w:rPr>
      </w:pPr>
      <w:r>
        <w:rPr>
          <w:rFonts w:ascii="宋体" w:eastAsia="宋体" w:hAnsi="宋体" w:cs="宋体" w:hint="eastAsia"/>
          <w:b/>
          <w:bCs/>
          <w:sz w:val="24"/>
          <w:szCs w:val="24"/>
        </w:rPr>
        <w:t>倾向得分匹配组</w:t>
      </w:r>
    </w:p>
    <w:p w14:paraId="07EBC7D5" w14:textId="77777777"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倾向评分分析将 ECPR 组的 80 名患者与 CCPR 组的 80 名患者进行了匹配。每个变量的 SMD 如表 2 所示；除了性别（ECPR 74% 男性 vs. CCPR 61% 男性；SMD = 0.12）和心脏骤停（ECPR 72% vs. CCPR 45%；p &lt; 0.001）之外，所有变量都匹配良好。匹配的 ECPR 组中的患者更常患有冠状动脉疾病；他们的ICU住院时间也更长。 ECPR 组入院时血乳酸水平显着高于 CCPR 组。</w:t>
      </w:r>
    </w:p>
    <w:p w14:paraId="7B5DDB04" w14:textId="77777777"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ECPR 组中达到 ROSC 的患者多于 CCPR 组（96% 对 37%，p &lt; 0.001）。接受 ECPR 治疗的患者更频繁地接受 TTM、血管加压药或正性肌力疗法；连续肾脏</w:t>
      </w:r>
      <w:r>
        <w:rPr>
          <w:rFonts w:ascii="宋体" w:eastAsia="宋体" w:hAnsi="宋体" w:cs="宋体" w:hint="eastAsia"/>
          <w:sz w:val="24"/>
          <w:szCs w:val="24"/>
        </w:rPr>
        <w:lastRenderedPageBreak/>
        <w:t>替代治疗（CRRT）；和冠状动脉造影优于 CCPR 患者。与CCPR组相比，ECPR中有较多的大量出血。</w:t>
      </w:r>
    </w:p>
    <w:p w14:paraId="5AA821D6" w14:textId="4014856D"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匹配的 ECPR 和 CCPR 组的存活率相似（23%</w:t>
      </w:r>
      <w:r w:rsidR="00030BE6" w:rsidRPr="00030BE6">
        <w:rPr>
          <w:rFonts w:ascii="宋体" w:eastAsia="宋体" w:hAnsi="宋体" w:cs="宋体" w:hint="eastAsia"/>
          <w:sz w:val="24"/>
          <w:szCs w:val="24"/>
        </w:rPr>
        <w:t xml:space="preserve"> </w:t>
      </w:r>
      <w:r w:rsidR="00030BE6">
        <w:rPr>
          <w:rFonts w:ascii="宋体" w:eastAsia="宋体" w:hAnsi="宋体" w:cs="宋体" w:hint="eastAsia"/>
          <w:sz w:val="24"/>
          <w:szCs w:val="24"/>
        </w:rPr>
        <w:t>vs.</w:t>
      </w:r>
      <w:r>
        <w:rPr>
          <w:rFonts w:ascii="宋体" w:eastAsia="宋体" w:hAnsi="宋体" w:cs="宋体" w:hint="eastAsia"/>
          <w:sz w:val="24"/>
          <w:szCs w:val="24"/>
        </w:rPr>
        <w:t>18%—条件逻辑回归：OR 1.40 [95% CIs 0.62–3.15]，p = 0.42）。按匹配对分层的 Cox 回归分析显示 ECPR 组的存活率显着增加（对数秩检验 p = 0.007；HR 1.71 [95% CI 1.13-2.60]；图 2）。匹配的 ECPR 组中有 17 名患者 (21%) 具有良好的神经学结果，而匹配的 CCPR 组中有 9 名患者 (11%)（条件逻辑回归：OR 1.75 [95% CI 0.83–4.17]，p = 0.11）。配对分层的 Cox 回归分析显示，ECPR 组的神经系统结果率显着高于 CCPR 组（对数秩检验 p = 0.003；HR 2.0 [1.5-5.3]；图 3）。</w:t>
      </w:r>
    </w:p>
    <w:p w14:paraId="7F26F278" w14:textId="77777777"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在 ROSC 时间较短（&lt; 45 分钟）的患者中，CCPR 与更高的生存率和良好的神经学结果相关，而 ECPR 与 ROSC 时间较长（&gt; 45 分钟）的患者的生存率和良好的神经学结局相关（图4）。亚组分析显示，ECPR 组的 ROSC 率较高，但所有亚组的组间结果相似，除了 ICU 存活率更高，以及非心脏原因引起的 ECPR 患者的长期神经系统预后良好外（表 3） .在具有初始非电击节律的患者中，CCPR 组 2 名患者（均具有脉冲较少电活动，PEA）和 ECPR 组 7 名患者（6 名 PEA 和 1 名心搏停止）具有良好的神经学结果。</w:t>
      </w:r>
    </w:p>
    <w:p w14:paraId="1430DCBC" w14:textId="141E8D6F"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CCPR 组 3个月时的 70 名非幸存者中，57 人死于“心脏/多器官衰竭”，13 人死于“神经系统”原因（n = 1 脑死亡）。一名幸存者的 CPC 评分为 3。在 ECPR 组 3 个月时的 63 名非幸存者中，45 人死于“心脏/多器官衰竭”，18 人死于“神经学”原因（n = 5 脑死亡）；在“心脏/多器官衰竭”原因中，3例患者在ICU住院期间神经功能完全恢复，但最终因严重心源性休克（n = 2）或左心室辅助装置（LVAD）植入后严重出血死亡（n = 1）。 CCPR组中，3例患者为器官捐献候选者（1例脑死亡，2例循环死亡），最终接受了肝肾捐献。在ECPR组中，4例患者是器官捐献的候选人（脑死亡2例，循环死亡2例），其中3例最终接受了肝肾捐献。</w:t>
      </w:r>
    </w:p>
    <w:p w14:paraId="4C7E93FD" w14:textId="0C7B3C62" w:rsidR="00752EE4" w:rsidRDefault="00752EE4" w:rsidP="00030BE6">
      <w:pPr>
        <w:spacing w:line="360" w:lineRule="auto"/>
        <w:rPr>
          <w:rFonts w:ascii="宋体" w:eastAsia="宋体" w:hAnsi="宋体" w:cs="宋体"/>
          <w:sz w:val="24"/>
          <w:szCs w:val="24"/>
        </w:rPr>
      </w:pPr>
    </w:p>
    <w:p w14:paraId="6EC83BAA" w14:textId="12A5CE37" w:rsidR="00030BE6" w:rsidRDefault="00030BE6" w:rsidP="00B27141">
      <w:pPr>
        <w:spacing w:line="360" w:lineRule="auto"/>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7DE4C55B" wp14:editId="38707DAB">
            <wp:extent cx="5274310" cy="30524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4310" cy="3052445"/>
                    </a:xfrm>
                    <a:prstGeom prst="rect">
                      <a:avLst/>
                    </a:prstGeom>
                  </pic:spPr>
                </pic:pic>
              </a:graphicData>
            </a:graphic>
          </wp:inline>
        </w:drawing>
      </w:r>
    </w:p>
    <w:p w14:paraId="5E933C5B" w14:textId="22A8BF83" w:rsidR="00752EE4" w:rsidRDefault="00030BE6" w:rsidP="00C35CB0">
      <w:pPr>
        <w:spacing w:line="360" w:lineRule="auto"/>
        <w:jc w:val="left"/>
        <w:rPr>
          <w:rFonts w:ascii="宋体" w:eastAsia="宋体" w:hAnsi="宋体" w:cs="宋体"/>
          <w:sz w:val="24"/>
          <w:szCs w:val="24"/>
        </w:rPr>
      </w:pPr>
      <w:r>
        <w:rPr>
          <w:rFonts w:ascii="宋体" w:eastAsia="宋体" w:hAnsi="宋体" w:cs="宋体" w:hint="eastAsia"/>
          <w:noProof/>
          <w:sz w:val="24"/>
          <w:szCs w:val="24"/>
        </w:rPr>
        <w:drawing>
          <wp:inline distT="0" distB="0" distL="0" distR="0" wp14:anchorId="14D8833E" wp14:editId="7F4ED088">
            <wp:extent cx="5274310" cy="30067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3006725"/>
                    </a:xfrm>
                    <a:prstGeom prst="rect">
                      <a:avLst/>
                    </a:prstGeom>
                  </pic:spPr>
                </pic:pic>
              </a:graphicData>
            </a:graphic>
          </wp:inline>
        </w:drawing>
      </w:r>
    </w:p>
    <w:p w14:paraId="34F67FC8" w14:textId="77777777" w:rsidR="00752EE4" w:rsidRDefault="00752EE4" w:rsidP="00C35CB0">
      <w:pPr>
        <w:spacing w:line="360" w:lineRule="auto"/>
        <w:rPr>
          <w:rFonts w:ascii="宋体" w:eastAsia="宋体" w:hAnsi="宋体" w:cs="宋体"/>
          <w:sz w:val="24"/>
          <w:szCs w:val="24"/>
        </w:rPr>
      </w:pPr>
    </w:p>
    <w:p w14:paraId="3190C495" w14:textId="77777777" w:rsidR="00AF1D36" w:rsidRDefault="00B27141">
      <w:pPr>
        <w:spacing w:line="360" w:lineRule="auto"/>
        <w:rPr>
          <w:rFonts w:ascii="宋体" w:eastAsia="宋体" w:hAnsi="宋体" w:cs="宋体"/>
          <w:sz w:val="24"/>
          <w:szCs w:val="24"/>
        </w:rPr>
      </w:pPr>
      <w:r>
        <w:rPr>
          <w:rFonts w:ascii="宋体" w:eastAsia="宋体" w:hAnsi="宋体" w:cs="宋体" w:hint="eastAsia"/>
          <w:noProof/>
          <w:sz w:val="24"/>
          <w:szCs w:val="24"/>
        </w:rPr>
        <w:lastRenderedPageBreak/>
        <w:drawing>
          <wp:inline distT="0" distB="0" distL="0" distR="0" wp14:anchorId="73292A8C" wp14:editId="0D523C3E">
            <wp:extent cx="5274310" cy="33388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3338830"/>
                    </a:xfrm>
                    <a:prstGeom prst="rect">
                      <a:avLst/>
                    </a:prstGeom>
                  </pic:spPr>
                </pic:pic>
              </a:graphicData>
            </a:graphic>
          </wp:inline>
        </w:drawing>
      </w:r>
    </w:p>
    <w:p w14:paraId="26B129AD" w14:textId="77777777" w:rsidR="00840032" w:rsidRDefault="00840032">
      <w:pPr>
        <w:spacing w:line="360" w:lineRule="auto"/>
        <w:rPr>
          <w:rFonts w:ascii="宋体" w:eastAsia="宋体" w:hAnsi="宋体" w:cs="宋体"/>
          <w:b/>
          <w:bCs/>
          <w:sz w:val="24"/>
          <w:szCs w:val="24"/>
        </w:rPr>
      </w:pPr>
    </w:p>
    <w:p w14:paraId="0E02194B" w14:textId="4C3FCA54" w:rsidR="00752EE4" w:rsidRDefault="00752EE4">
      <w:pPr>
        <w:spacing w:line="360" w:lineRule="auto"/>
        <w:rPr>
          <w:rFonts w:ascii="宋体" w:eastAsia="宋体" w:hAnsi="宋体" w:cs="宋体"/>
          <w:b/>
          <w:bCs/>
          <w:sz w:val="28"/>
          <w:szCs w:val="28"/>
        </w:rPr>
      </w:pPr>
      <w:r>
        <w:rPr>
          <w:rFonts w:ascii="宋体" w:eastAsia="宋体" w:hAnsi="宋体" w:cs="宋体" w:hint="eastAsia"/>
          <w:noProof/>
          <w:sz w:val="24"/>
          <w:szCs w:val="24"/>
        </w:rPr>
        <w:lastRenderedPageBreak/>
        <w:drawing>
          <wp:inline distT="0" distB="0" distL="0" distR="0" wp14:anchorId="4641E2CD" wp14:editId="5051B78D">
            <wp:extent cx="4279900" cy="7575849"/>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4293717" cy="7600306"/>
                    </a:xfrm>
                    <a:prstGeom prst="rect">
                      <a:avLst/>
                    </a:prstGeom>
                  </pic:spPr>
                </pic:pic>
              </a:graphicData>
            </a:graphic>
          </wp:inline>
        </w:drawing>
      </w:r>
    </w:p>
    <w:p w14:paraId="3472B1EC" w14:textId="77777777" w:rsidR="00752EE4" w:rsidRDefault="00752EE4">
      <w:pPr>
        <w:spacing w:line="360" w:lineRule="auto"/>
        <w:rPr>
          <w:rFonts w:ascii="宋体" w:eastAsia="宋体" w:hAnsi="宋体" w:cs="宋体"/>
          <w:b/>
          <w:bCs/>
          <w:sz w:val="28"/>
          <w:szCs w:val="28"/>
        </w:rPr>
      </w:pPr>
    </w:p>
    <w:p w14:paraId="0BEA0B55" w14:textId="77777777" w:rsidR="00752EE4" w:rsidRDefault="00752EE4">
      <w:pPr>
        <w:spacing w:line="360" w:lineRule="auto"/>
        <w:rPr>
          <w:rFonts w:ascii="宋体" w:eastAsia="宋体" w:hAnsi="宋体" w:cs="宋体"/>
          <w:b/>
          <w:bCs/>
          <w:sz w:val="28"/>
          <w:szCs w:val="28"/>
        </w:rPr>
      </w:pPr>
    </w:p>
    <w:p w14:paraId="138ABB4A" w14:textId="77777777" w:rsidR="00752EE4" w:rsidRDefault="00752EE4">
      <w:pPr>
        <w:spacing w:line="360" w:lineRule="auto"/>
        <w:rPr>
          <w:rFonts w:ascii="宋体" w:eastAsia="宋体" w:hAnsi="宋体" w:cs="宋体"/>
          <w:b/>
          <w:bCs/>
          <w:sz w:val="28"/>
          <w:szCs w:val="28"/>
        </w:rPr>
      </w:pPr>
    </w:p>
    <w:p w14:paraId="19D24905" w14:textId="2CC16D4C" w:rsidR="00AF1D36" w:rsidRPr="00C35CB0" w:rsidRDefault="00B27141">
      <w:pPr>
        <w:spacing w:line="360" w:lineRule="auto"/>
        <w:rPr>
          <w:rFonts w:ascii="宋体" w:eastAsia="宋体" w:hAnsi="宋体" w:cs="宋体"/>
          <w:b/>
          <w:bCs/>
          <w:sz w:val="28"/>
          <w:szCs w:val="28"/>
        </w:rPr>
      </w:pPr>
      <w:r w:rsidRPr="00C35CB0">
        <w:rPr>
          <w:rFonts w:ascii="宋体" w:eastAsia="宋体" w:hAnsi="宋体" w:cs="宋体" w:hint="eastAsia"/>
          <w:b/>
          <w:bCs/>
          <w:sz w:val="28"/>
          <w:szCs w:val="28"/>
        </w:rPr>
        <w:lastRenderedPageBreak/>
        <w:t>讨论</w:t>
      </w:r>
    </w:p>
    <w:p w14:paraId="48F691EC" w14:textId="15BB0102" w:rsidR="00AF1D36" w:rsidRDefault="00B27141" w:rsidP="00752EE4">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根据我们在5年记录期内入住 ICU 的 635名心脏骤停患者的经验，我们的倾向评分匹配分析显示，接受 ECPR 的患者比接受 CCPR 的患者长期良好的神经系统预后的发生率更高。鉴于脑功能完好的低存活率，这表明 ECPR 的良好神经恢复比 CCPR 增加了近 50%。</w:t>
      </w:r>
    </w:p>
    <w:p w14:paraId="3648EC5E" w14:textId="77777777"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倾向评分的使用使我们能够最大限度地减少可能影响结果的群体和潜在混杂因素之间的差异，例如入院前的合并症和心脏骤停的特征差异仍然存在。</w:t>
      </w:r>
    </w:p>
    <w:p w14:paraId="26A09FA0" w14:textId="3A3652E2"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前瞻性地确定可能受益于 ECPR 的患者仍然非常困难。显然，人们应该致力于缩短 CPR 的持续时间，以最大程度地减少广泛缺氧脑损伤的风险，但早期 ECPR 是否对所有患者都有好处仍然未知。如果过早进行ECMO插管，则</w:t>
      </w:r>
      <w:r w:rsidR="00713EC2">
        <w:rPr>
          <w:rFonts w:ascii="宋体" w:eastAsia="宋体" w:hAnsi="宋体" w:cs="宋体" w:hint="eastAsia"/>
          <w:sz w:val="24"/>
          <w:szCs w:val="24"/>
        </w:rPr>
        <w:t>本</w:t>
      </w:r>
      <w:r>
        <w:rPr>
          <w:rFonts w:ascii="宋体" w:eastAsia="宋体" w:hAnsi="宋体" w:cs="宋体" w:hint="eastAsia"/>
          <w:sz w:val="24"/>
          <w:szCs w:val="24"/>
        </w:rPr>
        <w:t>可</w:t>
      </w:r>
      <w:r w:rsidR="00713EC2">
        <w:rPr>
          <w:rFonts w:ascii="宋体" w:eastAsia="宋体" w:hAnsi="宋体" w:cs="宋体" w:hint="eastAsia"/>
          <w:sz w:val="24"/>
          <w:szCs w:val="24"/>
        </w:rPr>
        <w:t>以通过</w:t>
      </w:r>
      <w:r>
        <w:rPr>
          <w:rFonts w:ascii="宋体" w:eastAsia="宋体" w:hAnsi="宋体" w:cs="宋体" w:hint="eastAsia"/>
          <w:sz w:val="24"/>
          <w:szCs w:val="24"/>
        </w:rPr>
        <w:t>CCPR康复的患者</w:t>
      </w:r>
      <w:r w:rsidR="00713EC2">
        <w:rPr>
          <w:rFonts w:ascii="宋体" w:eastAsia="宋体" w:hAnsi="宋体" w:cs="宋体" w:hint="eastAsia"/>
          <w:sz w:val="24"/>
          <w:szCs w:val="24"/>
        </w:rPr>
        <w:t>却</w:t>
      </w:r>
      <w:r>
        <w:rPr>
          <w:rFonts w:ascii="宋体" w:eastAsia="宋体" w:hAnsi="宋体" w:cs="宋体" w:hint="eastAsia"/>
          <w:sz w:val="24"/>
          <w:szCs w:val="24"/>
        </w:rPr>
        <w:t>可能</w:t>
      </w:r>
      <w:r w:rsidR="00713EC2">
        <w:rPr>
          <w:rFonts w:ascii="宋体" w:eastAsia="宋体" w:hAnsi="宋体" w:cs="宋体" w:hint="eastAsia"/>
          <w:sz w:val="24"/>
          <w:szCs w:val="24"/>
        </w:rPr>
        <w:t>会</w:t>
      </w:r>
      <w:r>
        <w:rPr>
          <w:rFonts w:ascii="宋体" w:eastAsia="宋体" w:hAnsi="宋体" w:cs="宋体" w:hint="eastAsia"/>
          <w:sz w:val="24"/>
          <w:szCs w:val="24"/>
        </w:rPr>
        <w:t>不必要地暴露于ECMO的潜在并发症。</w:t>
      </w:r>
    </w:p>
    <w:p w14:paraId="7B188FEB" w14:textId="67ABAB24" w:rsidR="00AF1D36" w:rsidRDefault="00B27141">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这项研究有一些局限性。首先，就心脏骤停后改善神经系统结果的影响而言，仅包括选定的患者。在 6 年期间只有112名患者接受了ECPR治疗。其次，数据是回顾性收集的。此外，一些“无法测量的变量”，例如入院时患者的临床状态以及未实施 ECPR 的决定的外在因素等，不能包括在倾向评分中，可能会影响最终结果。同样，不可能在每个患者的治疗选择时间点考虑ECPR和CCPR之间是否存在真正的选择或平衡；只有随机试验才有可能回答这个问题。第三，即使倾向评分减少了一些选择偏差，但由于匹配组的规模相对较小和可能未测量的潜在混杂因素，可能仍然存在一些剩余的偏差。第四，并非所有ECPR患者都可以纳入最终分析，特别是因为CPR时间延长，无法在CCPR组中匹配。第五，我们观察到组间绝对存活率和神经功能良好转归率没有统计学差异，而神经功能完好的存活时间在组间有显着差异。这种差异可能是由于各组相对“</w:t>
      </w:r>
      <w:r w:rsidR="004B0A15">
        <w:rPr>
          <w:rFonts w:ascii="宋体" w:eastAsia="宋体" w:hAnsi="宋体" w:cs="宋体" w:hint="eastAsia"/>
          <w:sz w:val="24"/>
          <w:szCs w:val="24"/>
        </w:rPr>
        <w:t>小</w:t>
      </w:r>
      <w:r>
        <w:rPr>
          <w:rFonts w:ascii="宋体" w:eastAsia="宋体" w:hAnsi="宋体" w:cs="宋体" w:hint="eastAsia"/>
          <w:sz w:val="24"/>
          <w:szCs w:val="24"/>
        </w:rPr>
        <w:t>”</w:t>
      </w:r>
      <w:r w:rsidR="004B0A15">
        <w:rPr>
          <w:rFonts w:ascii="宋体" w:eastAsia="宋体" w:hAnsi="宋体" w:cs="宋体" w:hint="eastAsia"/>
          <w:sz w:val="24"/>
          <w:szCs w:val="24"/>
        </w:rPr>
        <w:t>样本</w:t>
      </w:r>
      <w:r>
        <w:rPr>
          <w:rFonts w:ascii="宋体" w:eastAsia="宋体" w:hAnsi="宋体" w:cs="宋体" w:hint="eastAsia"/>
          <w:sz w:val="24"/>
          <w:szCs w:val="24"/>
        </w:rPr>
        <w:t>的缘故。此外，重要的是要注意，如果没有ECMO，大多数长</w:t>
      </w:r>
      <w:r w:rsidR="004B0A15">
        <w:rPr>
          <w:rFonts w:ascii="宋体" w:eastAsia="宋体" w:hAnsi="宋体" w:cs="宋体" w:hint="eastAsia"/>
          <w:sz w:val="24"/>
          <w:szCs w:val="24"/>
        </w:rPr>
        <w:t>程</w:t>
      </w:r>
      <w:r>
        <w:rPr>
          <w:rFonts w:ascii="宋体" w:eastAsia="宋体" w:hAnsi="宋体" w:cs="宋体" w:hint="eastAsia"/>
          <w:sz w:val="24"/>
          <w:szCs w:val="24"/>
        </w:rPr>
        <w:t>CCPR的患者将永远无法实现 ROSC并在入院后立即死亡，而三分之一的ECPR患者在 1 周后仍然活着，并且可能会进展为神经和/或心脏恢复或器官捐献。最后，ECPR的使用可能会导致偏倚，因为ECMO的使用是有选择性的。</w:t>
      </w:r>
    </w:p>
    <w:p w14:paraId="78561F8E" w14:textId="77777777" w:rsidR="00AF1D36" w:rsidRDefault="00AF1D36">
      <w:pPr>
        <w:spacing w:line="360" w:lineRule="auto"/>
        <w:rPr>
          <w:rFonts w:ascii="宋体" w:eastAsia="宋体" w:hAnsi="宋体" w:cs="宋体"/>
          <w:sz w:val="24"/>
          <w:szCs w:val="24"/>
        </w:rPr>
      </w:pPr>
    </w:p>
    <w:p w14:paraId="1B058E16" w14:textId="77777777" w:rsidR="00AF1D36" w:rsidRPr="00125FCA" w:rsidRDefault="00B27141">
      <w:pPr>
        <w:spacing w:line="360" w:lineRule="auto"/>
        <w:rPr>
          <w:rFonts w:ascii="宋体" w:eastAsia="宋体" w:hAnsi="宋体" w:cs="宋体"/>
          <w:b/>
          <w:bCs/>
          <w:sz w:val="28"/>
          <w:szCs w:val="28"/>
        </w:rPr>
      </w:pPr>
      <w:r w:rsidRPr="00125FCA">
        <w:rPr>
          <w:rFonts w:ascii="宋体" w:eastAsia="宋体" w:hAnsi="宋体" w:cs="宋体" w:hint="eastAsia"/>
          <w:b/>
          <w:bCs/>
          <w:sz w:val="28"/>
          <w:szCs w:val="28"/>
        </w:rPr>
        <w:t>结论</w:t>
      </w:r>
    </w:p>
    <w:p w14:paraId="6BFA02D8" w14:textId="3FD182C8" w:rsidR="004B0A15" w:rsidRDefault="00B27141" w:rsidP="004B0A15">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与CCPR相比，ECPR可能会改善心脏骤停后神经系统的长期预后。正在进行</w:t>
      </w:r>
      <w:r>
        <w:rPr>
          <w:rFonts w:ascii="宋体" w:eastAsia="宋体" w:hAnsi="宋体" w:cs="宋体" w:hint="eastAsia"/>
          <w:sz w:val="24"/>
          <w:szCs w:val="24"/>
        </w:rPr>
        <w:lastRenderedPageBreak/>
        <w:t>的</w:t>
      </w:r>
      <w:r w:rsidR="004B0A15">
        <w:rPr>
          <w:rFonts w:ascii="宋体" w:eastAsia="宋体" w:hAnsi="宋体" w:cs="宋体" w:hint="eastAsia"/>
          <w:sz w:val="24"/>
          <w:szCs w:val="24"/>
        </w:rPr>
        <w:t>大样本</w:t>
      </w:r>
      <w:r>
        <w:rPr>
          <w:rFonts w:ascii="宋体" w:eastAsia="宋体" w:hAnsi="宋体" w:cs="宋体" w:hint="eastAsia"/>
          <w:sz w:val="24"/>
          <w:szCs w:val="24"/>
        </w:rPr>
        <w:t>随机试验可能有助于我们更好地了解哪些患者最有可能从这项技术中受益。</w:t>
      </w:r>
    </w:p>
    <w:sectPr w:rsidR="004B0A1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335"/>
    <w:rsid w:val="000066A2"/>
    <w:rsid w:val="00007C80"/>
    <w:rsid w:val="00014834"/>
    <w:rsid w:val="0003049D"/>
    <w:rsid w:val="00030BE6"/>
    <w:rsid w:val="00050829"/>
    <w:rsid w:val="00051DB1"/>
    <w:rsid w:val="00071AA3"/>
    <w:rsid w:val="0009776C"/>
    <w:rsid w:val="000A1774"/>
    <w:rsid w:val="000A4477"/>
    <w:rsid w:val="000B2EBC"/>
    <w:rsid w:val="000B4B3F"/>
    <w:rsid w:val="000B6C92"/>
    <w:rsid w:val="000E397B"/>
    <w:rsid w:val="000F3A68"/>
    <w:rsid w:val="00112152"/>
    <w:rsid w:val="0011426F"/>
    <w:rsid w:val="00125FCA"/>
    <w:rsid w:val="0012663F"/>
    <w:rsid w:val="001367F3"/>
    <w:rsid w:val="00153DDA"/>
    <w:rsid w:val="00162D24"/>
    <w:rsid w:val="001860B9"/>
    <w:rsid w:val="00193EEE"/>
    <w:rsid w:val="001B46B6"/>
    <w:rsid w:val="001C1034"/>
    <w:rsid w:val="00204C7D"/>
    <w:rsid w:val="00212351"/>
    <w:rsid w:val="0022291D"/>
    <w:rsid w:val="002724F5"/>
    <w:rsid w:val="002855A9"/>
    <w:rsid w:val="00285FDD"/>
    <w:rsid w:val="002C311B"/>
    <w:rsid w:val="002E55A3"/>
    <w:rsid w:val="00343E1E"/>
    <w:rsid w:val="0036198B"/>
    <w:rsid w:val="00376B3D"/>
    <w:rsid w:val="00380720"/>
    <w:rsid w:val="00386075"/>
    <w:rsid w:val="00394EE8"/>
    <w:rsid w:val="003B3F47"/>
    <w:rsid w:val="003E7B17"/>
    <w:rsid w:val="003F0845"/>
    <w:rsid w:val="003F26E4"/>
    <w:rsid w:val="003F3350"/>
    <w:rsid w:val="003F3747"/>
    <w:rsid w:val="003F50DD"/>
    <w:rsid w:val="003F72A1"/>
    <w:rsid w:val="00400709"/>
    <w:rsid w:val="00404258"/>
    <w:rsid w:val="004046E0"/>
    <w:rsid w:val="00424807"/>
    <w:rsid w:val="00430519"/>
    <w:rsid w:val="004349CC"/>
    <w:rsid w:val="00437066"/>
    <w:rsid w:val="00440538"/>
    <w:rsid w:val="0044622E"/>
    <w:rsid w:val="004559AD"/>
    <w:rsid w:val="004572E0"/>
    <w:rsid w:val="0046610B"/>
    <w:rsid w:val="00480105"/>
    <w:rsid w:val="004A69B4"/>
    <w:rsid w:val="004B0A15"/>
    <w:rsid w:val="004C3DCC"/>
    <w:rsid w:val="004D5031"/>
    <w:rsid w:val="004F02BC"/>
    <w:rsid w:val="004F6BAD"/>
    <w:rsid w:val="005008DA"/>
    <w:rsid w:val="00503BC1"/>
    <w:rsid w:val="00510658"/>
    <w:rsid w:val="0053024E"/>
    <w:rsid w:val="00542581"/>
    <w:rsid w:val="005449C4"/>
    <w:rsid w:val="00557E59"/>
    <w:rsid w:val="00562425"/>
    <w:rsid w:val="005670D6"/>
    <w:rsid w:val="00572A39"/>
    <w:rsid w:val="00586B12"/>
    <w:rsid w:val="00587611"/>
    <w:rsid w:val="0059552B"/>
    <w:rsid w:val="005B1538"/>
    <w:rsid w:val="005C6BB7"/>
    <w:rsid w:val="005C72C5"/>
    <w:rsid w:val="005E5B93"/>
    <w:rsid w:val="005F1661"/>
    <w:rsid w:val="00602F29"/>
    <w:rsid w:val="006031F7"/>
    <w:rsid w:val="006346B5"/>
    <w:rsid w:val="00642E1C"/>
    <w:rsid w:val="0064569B"/>
    <w:rsid w:val="0064766F"/>
    <w:rsid w:val="0066246C"/>
    <w:rsid w:val="00673C48"/>
    <w:rsid w:val="006802EB"/>
    <w:rsid w:val="006B5A9B"/>
    <w:rsid w:val="006C4DA7"/>
    <w:rsid w:val="006E2A3E"/>
    <w:rsid w:val="006F29A8"/>
    <w:rsid w:val="00704133"/>
    <w:rsid w:val="00712797"/>
    <w:rsid w:val="00713EC2"/>
    <w:rsid w:val="00720EAB"/>
    <w:rsid w:val="00733C84"/>
    <w:rsid w:val="00752EE4"/>
    <w:rsid w:val="007768B5"/>
    <w:rsid w:val="00782757"/>
    <w:rsid w:val="0079399E"/>
    <w:rsid w:val="007C3C5E"/>
    <w:rsid w:val="007D3177"/>
    <w:rsid w:val="007D75B6"/>
    <w:rsid w:val="00800E30"/>
    <w:rsid w:val="00817134"/>
    <w:rsid w:val="00822335"/>
    <w:rsid w:val="008350F0"/>
    <w:rsid w:val="00840032"/>
    <w:rsid w:val="0084052F"/>
    <w:rsid w:val="00872CC0"/>
    <w:rsid w:val="00891D41"/>
    <w:rsid w:val="008B4B1B"/>
    <w:rsid w:val="008C010E"/>
    <w:rsid w:val="008C5815"/>
    <w:rsid w:val="008D7F19"/>
    <w:rsid w:val="008E010E"/>
    <w:rsid w:val="008E4F6C"/>
    <w:rsid w:val="009002CC"/>
    <w:rsid w:val="009111C5"/>
    <w:rsid w:val="00911532"/>
    <w:rsid w:val="00913073"/>
    <w:rsid w:val="0091512A"/>
    <w:rsid w:val="00916461"/>
    <w:rsid w:val="0091746A"/>
    <w:rsid w:val="00926C6E"/>
    <w:rsid w:val="00932E81"/>
    <w:rsid w:val="00953CE9"/>
    <w:rsid w:val="0096470D"/>
    <w:rsid w:val="00965B04"/>
    <w:rsid w:val="0097015A"/>
    <w:rsid w:val="009946FF"/>
    <w:rsid w:val="009B28AB"/>
    <w:rsid w:val="009D46D9"/>
    <w:rsid w:val="009E6643"/>
    <w:rsid w:val="009F6308"/>
    <w:rsid w:val="009F70BD"/>
    <w:rsid w:val="00A05D87"/>
    <w:rsid w:val="00A170F6"/>
    <w:rsid w:val="00A24C4D"/>
    <w:rsid w:val="00A30970"/>
    <w:rsid w:val="00A412C9"/>
    <w:rsid w:val="00A43192"/>
    <w:rsid w:val="00A5691B"/>
    <w:rsid w:val="00A74A38"/>
    <w:rsid w:val="00A868FE"/>
    <w:rsid w:val="00A92991"/>
    <w:rsid w:val="00A959B9"/>
    <w:rsid w:val="00AA06D3"/>
    <w:rsid w:val="00AA4955"/>
    <w:rsid w:val="00AB2C96"/>
    <w:rsid w:val="00AB6827"/>
    <w:rsid w:val="00AC72F7"/>
    <w:rsid w:val="00AE06D4"/>
    <w:rsid w:val="00AE68E8"/>
    <w:rsid w:val="00AF0840"/>
    <w:rsid w:val="00AF1D36"/>
    <w:rsid w:val="00AF27BE"/>
    <w:rsid w:val="00B04FF0"/>
    <w:rsid w:val="00B13DA2"/>
    <w:rsid w:val="00B14D8D"/>
    <w:rsid w:val="00B20BE6"/>
    <w:rsid w:val="00B26242"/>
    <w:rsid w:val="00B27141"/>
    <w:rsid w:val="00B443BC"/>
    <w:rsid w:val="00B46D5A"/>
    <w:rsid w:val="00B55869"/>
    <w:rsid w:val="00B6188F"/>
    <w:rsid w:val="00BA2B34"/>
    <w:rsid w:val="00BB7246"/>
    <w:rsid w:val="00BC0513"/>
    <w:rsid w:val="00BC572C"/>
    <w:rsid w:val="00BD6636"/>
    <w:rsid w:val="00BE76FC"/>
    <w:rsid w:val="00C35CB0"/>
    <w:rsid w:val="00C415D0"/>
    <w:rsid w:val="00C8056F"/>
    <w:rsid w:val="00C86784"/>
    <w:rsid w:val="00CC1CB6"/>
    <w:rsid w:val="00CD00EA"/>
    <w:rsid w:val="00CF4101"/>
    <w:rsid w:val="00D179E2"/>
    <w:rsid w:val="00D57B85"/>
    <w:rsid w:val="00D725C3"/>
    <w:rsid w:val="00D72CC4"/>
    <w:rsid w:val="00D7424D"/>
    <w:rsid w:val="00D863B0"/>
    <w:rsid w:val="00D96B94"/>
    <w:rsid w:val="00DB14C4"/>
    <w:rsid w:val="00E02B33"/>
    <w:rsid w:val="00E1313A"/>
    <w:rsid w:val="00E217ED"/>
    <w:rsid w:val="00E22744"/>
    <w:rsid w:val="00E304F5"/>
    <w:rsid w:val="00E415D0"/>
    <w:rsid w:val="00E455CC"/>
    <w:rsid w:val="00E50BBB"/>
    <w:rsid w:val="00E57BE0"/>
    <w:rsid w:val="00E63443"/>
    <w:rsid w:val="00E66BB3"/>
    <w:rsid w:val="00E7619B"/>
    <w:rsid w:val="00E90B6F"/>
    <w:rsid w:val="00E91623"/>
    <w:rsid w:val="00E97363"/>
    <w:rsid w:val="00EC408C"/>
    <w:rsid w:val="00EE018F"/>
    <w:rsid w:val="00F02576"/>
    <w:rsid w:val="00F0607B"/>
    <w:rsid w:val="00F23379"/>
    <w:rsid w:val="00F31CFB"/>
    <w:rsid w:val="00F6663F"/>
    <w:rsid w:val="00F74335"/>
    <w:rsid w:val="00F74546"/>
    <w:rsid w:val="00F964B0"/>
    <w:rsid w:val="00FA070E"/>
    <w:rsid w:val="00FA3DCC"/>
    <w:rsid w:val="00FB7630"/>
    <w:rsid w:val="00FB7F19"/>
    <w:rsid w:val="00FC06CF"/>
    <w:rsid w:val="00FC1268"/>
    <w:rsid w:val="00FF3F71"/>
    <w:rsid w:val="00FF6214"/>
    <w:rsid w:val="2F5C1F5F"/>
    <w:rsid w:val="45431F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057B3"/>
  <w15:docId w15:val="{EC538A34-E992-4AFF-83A0-69C675EC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firstLineChars="200" w:firstLine="420"/>
    </w:pPr>
  </w:style>
  <w:style w:type="character" w:customStyle="1" w:styleId="tgt">
    <w:name w:val="tgt"/>
    <w:basedOn w:val="a0"/>
    <w:rsid w:val="002724F5"/>
  </w:style>
  <w:style w:type="character" w:customStyle="1" w:styleId="tgt1">
    <w:name w:val="tgt1"/>
    <w:basedOn w:val="a0"/>
    <w:rsid w:val="00051D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7060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13</Pages>
  <Words>939</Words>
  <Characters>5355</Characters>
  <Application>Microsoft Office Word</Application>
  <DocSecurity>0</DocSecurity>
  <Lines>44</Lines>
  <Paragraphs>12</Paragraphs>
  <ScaleCrop>false</ScaleCrop>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路阳 易</dc:creator>
  <cp:lastModifiedBy>周 荣华</cp:lastModifiedBy>
  <cp:revision>77</cp:revision>
  <dcterms:created xsi:type="dcterms:W3CDTF">2021-05-29T11:49:00Z</dcterms:created>
  <dcterms:modified xsi:type="dcterms:W3CDTF">2021-07-09T03:17:00Z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