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5EC60" w14:textId="77777777" w:rsidR="00FA08FB" w:rsidRDefault="000E3D8A">
      <w:pPr>
        <w:pStyle w:val="1"/>
        <w:ind w:left="0"/>
      </w:pPr>
      <w:r>
        <w:rPr>
          <w:rStyle w:val="translated-span"/>
        </w:rPr>
        <w:t>原件</w:t>
      </w:r>
    </w:p>
    <w:p w14:paraId="1ACA0A06" w14:textId="01EF54E4" w:rsidR="00FA08FB" w:rsidRDefault="000E3D8A">
      <w:pPr>
        <w:spacing w:after="0" w:line="360" w:lineRule="auto"/>
        <w:ind w:left="0" w:right="933" w:firstLine="0"/>
        <w:jc w:val="center"/>
        <w:rPr>
          <w:rStyle w:val="translated-span"/>
          <w:rFonts w:ascii="宋体" w:hAnsi="宋体" w:cs="宋体"/>
          <w:b/>
          <w:bCs/>
          <w:sz w:val="30"/>
          <w:szCs w:val="30"/>
        </w:rPr>
      </w:pPr>
      <w:r>
        <w:rPr>
          <w:rStyle w:val="translated-span"/>
          <w:rFonts w:ascii="宋体" w:hAnsi="宋体" w:cs="宋体" w:hint="eastAsia"/>
          <w:b/>
          <w:bCs/>
          <w:sz w:val="30"/>
          <w:szCs w:val="30"/>
        </w:rPr>
        <w:t>E</w:t>
      </w:r>
      <w:r>
        <w:rPr>
          <w:rStyle w:val="translated-span"/>
          <w:rFonts w:ascii="宋体" w:hAnsi="宋体" w:cs="宋体"/>
          <w:b/>
          <w:bCs/>
          <w:sz w:val="30"/>
          <w:szCs w:val="30"/>
        </w:rPr>
        <w:t>CMO</w:t>
      </w:r>
      <w:r>
        <w:rPr>
          <w:rStyle w:val="translated-span"/>
          <w:rFonts w:ascii="宋体" w:hAnsi="宋体" w:cs="宋体" w:hint="eastAsia"/>
          <w:b/>
          <w:bCs/>
          <w:sz w:val="30"/>
          <w:szCs w:val="30"/>
        </w:rPr>
        <w:t>治疗难治性心脏骤停：一项多中心回顾性研究</w:t>
      </w:r>
    </w:p>
    <w:p w14:paraId="53EF5847" w14:textId="77777777" w:rsidR="00FA08FB" w:rsidRDefault="00FA08FB">
      <w:pPr>
        <w:spacing w:after="0" w:line="360" w:lineRule="auto"/>
        <w:ind w:left="0" w:right="933" w:firstLine="0"/>
        <w:rPr>
          <w:rStyle w:val="translated-span"/>
          <w:rFonts w:ascii="宋体" w:hAnsi="宋体" w:cs="宋体"/>
          <w:sz w:val="24"/>
          <w:szCs w:val="24"/>
        </w:rPr>
      </w:pPr>
    </w:p>
    <w:p w14:paraId="201A7C4E" w14:textId="77777777" w:rsidR="00FA08FB" w:rsidRDefault="000E3D8A">
      <w:pPr>
        <w:spacing w:after="0" w:line="360" w:lineRule="auto"/>
        <w:ind w:left="0" w:right="933" w:firstLine="0"/>
        <w:rPr>
          <w:rStyle w:val="translated-span"/>
          <w:rFonts w:ascii="宋体" w:hAnsi="宋体" w:cs="宋体"/>
          <w:sz w:val="24"/>
          <w:szCs w:val="24"/>
        </w:rPr>
      </w:pPr>
      <w:r>
        <w:rPr>
          <w:rStyle w:val="translated-span"/>
          <w:rFonts w:ascii="宋体" w:hAnsi="宋体" w:cs="宋体" w:hint="eastAsia"/>
          <w:sz w:val="24"/>
          <w:szCs w:val="24"/>
        </w:rPr>
        <w:t xml:space="preserve">翻译：黄国金 </w:t>
      </w:r>
      <w:r>
        <w:rPr>
          <w:rStyle w:val="translated-span"/>
          <w:rFonts w:ascii="宋体" w:hAnsi="宋体" w:cs="宋体"/>
          <w:sz w:val="24"/>
          <w:szCs w:val="24"/>
        </w:rPr>
        <w:t xml:space="preserve"> </w:t>
      </w:r>
      <w:r>
        <w:rPr>
          <w:rStyle w:val="translated-span"/>
          <w:rFonts w:ascii="宋体" w:hAnsi="宋体" w:cs="宋体" w:hint="eastAsia"/>
          <w:sz w:val="24"/>
          <w:szCs w:val="24"/>
        </w:rPr>
        <w:t>江西省儿童医院</w:t>
      </w:r>
    </w:p>
    <w:p w14:paraId="331F6E04" w14:textId="77777777" w:rsidR="00FA08FB" w:rsidRDefault="000E3D8A">
      <w:pPr>
        <w:spacing w:after="0" w:line="360" w:lineRule="auto"/>
        <w:ind w:left="0" w:right="933" w:firstLine="0"/>
        <w:rPr>
          <w:rStyle w:val="translated-span"/>
          <w:rFonts w:ascii="宋体" w:hAnsi="宋体" w:cs="宋体"/>
          <w:sz w:val="24"/>
          <w:szCs w:val="24"/>
        </w:rPr>
      </w:pPr>
      <w:r>
        <w:rPr>
          <w:rStyle w:val="translated-span"/>
          <w:rFonts w:ascii="宋体" w:hAnsi="宋体" w:cs="宋体" w:hint="eastAsia"/>
          <w:sz w:val="24"/>
          <w:szCs w:val="24"/>
        </w:rPr>
        <w:t xml:space="preserve">审校：李 平 </w:t>
      </w:r>
      <w:r>
        <w:rPr>
          <w:rStyle w:val="translated-span"/>
          <w:rFonts w:ascii="宋体" w:hAnsi="宋体" w:cs="宋体"/>
          <w:sz w:val="24"/>
          <w:szCs w:val="24"/>
        </w:rPr>
        <w:t xml:space="preserve">  </w:t>
      </w:r>
      <w:r>
        <w:rPr>
          <w:rStyle w:val="translated-span"/>
          <w:rFonts w:ascii="宋体" w:hAnsi="宋体" w:cs="宋体" w:hint="eastAsia"/>
          <w:sz w:val="24"/>
          <w:szCs w:val="24"/>
        </w:rPr>
        <w:t>武汉协和医院</w:t>
      </w:r>
    </w:p>
    <w:p w14:paraId="57CC5356" w14:textId="77777777" w:rsidR="00FA08FB" w:rsidRDefault="00FA08FB">
      <w:pPr>
        <w:spacing w:after="0" w:line="360" w:lineRule="auto"/>
        <w:ind w:left="0" w:right="933" w:firstLine="0"/>
        <w:rPr>
          <w:rStyle w:val="translated-span"/>
          <w:rFonts w:ascii="宋体" w:hAnsi="宋体" w:cs="宋体"/>
          <w:sz w:val="30"/>
          <w:szCs w:val="30"/>
        </w:rPr>
      </w:pPr>
    </w:p>
    <w:p w14:paraId="54A5F9CF" w14:textId="77777777" w:rsidR="00FA08FB" w:rsidRDefault="000E3D8A">
      <w:pPr>
        <w:pStyle w:val="2"/>
        <w:spacing w:after="45" w:line="360" w:lineRule="auto"/>
        <w:rPr>
          <w:rFonts w:ascii="宋体" w:hAnsi="宋体"/>
          <w:sz w:val="30"/>
          <w:szCs w:val="30"/>
        </w:rPr>
      </w:pPr>
      <w:r>
        <w:rPr>
          <w:rStyle w:val="translated-span"/>
          <w:rFonts w:ascii="宋体" w:hAnsi="宋体" w:hint="eastAsia"/>
          <w:sz w:val="30"/>
          <w:szCs w:val="30"/>
        </w:rPr>
        <w:t>摘要</w:t>
      </w:r>
    </w:p>
    <w:p w14:paraId="7E6D65CB" w14:textId="7D79DB8C" w:rsidR="00FA08FB" w:rsidRDefault="000E3D8A">
      <w:pPr>
        <w:spacing w:after="64" w:line="360" w:lineRule="auto"/>
        <w:ind w:left="125"/>
        <w:jc w:val="left"/>
        <w:rPr>
          <w:rFonts w:ascii="宋体" w:hAnsi="宋体" w:cs="宋体"/>
          <w:sz w:val="24"/>
          <w:szCs w:val="24"/>
        </w:rPr>
      </w:pPr>
      <w:r>
        <w:rPr>
          <w:rStyle w:val="translated-span"/>
          <w:rFonts w:ascii="宋体" w:hAnsi="宋体" w:cs="宋体" w:hint="eastAsia"/>
          <w:b/>
          <w:bCs/>
          <w:sz w:val="24"/>
          <w:szCs w:val="24"/>
        </w:rPr>
        <w:t>目的：</w:t>
      </w:r>
      <w:r>
        <w:rPr>
          <w:rStyle w:val="translated-span"/>
          <w:rFonts w:ascii="宋体" w:hAnsi="宋体" w:cs="宋体" w:hint="eastAsia"/>
          <w:sz w:val="24"/>
          <w:szCs w:val="24"/>
        </w:rPr>
        <w:t>本研究目的是评估欧洲五个中心的体外心肺复苏（ECPR）患者的神经功能预后。</w:t>
      </w:r>
    </w:p>
    <w:p w14:paraId="45E716A8" w14:textId="6C0A9CCA" w:rsidR="00FA08FB" w:rsidRDefault="000E3D8A">
      <w:pPr>
        <w:spacing w:after="64" w:line="360" w:lineRule="auto"/>
        <w:ind w:left="125"/>
        <w:jc w:val="left"/>
        <w:rPr>
          <w:rStyle w:val="translated-span"/>
          <w:rFonts w:ascii="宋体" w:hAnsi="宋体" w:cs="宋体"/>
          <w:sz w:val="24"/>
          <w:szCs w:val="24"/>
        </w:rPr>
      </w:pPr>
      <w:r>
        <w:rPr>
          <w:rStyle w:val="translated-span"/>
          <w:rFonts w:ascii="宋体" w:hAnsi="宋体" w:cs="宋体" w:hint="eastAsia"/>
          <w:b/>
          <w:bCs/>
          <w:sz w:val="24"/>
          <w:szCs w:val="24"/>
        </w:rPr>
        <w:t>方法：</w:t>
      </w:r>
      <w:r>
        <w:rPr>
          <w:rStyle w:val="translated-span"/>
          <w:rFonts w:ascii="宋体" w:hAnsi="宋体" w:cs="宋体" w:hint="eastAsia"/>
          <w:sz w:val="24"/>
          <w:szCs w:val="24"/>
        </w:rPr>
        <w:t>前瞻性队列观察在2012年1月至2016年12月接受ECPR的患者，并进行回顾性数据分析。主要结局指标为3个月良好的神经功能转归（FO），定义为大脑功能为1-2级。次要结局指标包括出ICU存活和接收器官捐献的患者数量。我们还对</w:t>
      </w:r>
      <w:r>
        <w:rPr>
          <w:rStyle w:val="translated-span"/>
          <w:rFonts w:ascii="宋体" w:hAnsi="宋体" w:cs="宋体"/>
          <w:sz w:val="24"/>
          <w:szCs w:val="24"/>
        </w:rPr>
        <w:t>一组</w:t>
      </w:r>
      <w:r>
        <w:rPr>
          <w:rStyle w:val="translated-span"/>
          <w:rFonts w:ascii="宋体" w:hAnsi="宋体" w:cs="宋体" w:hint="eastAsia"/>
          <w:sz w:val="24"/>
          <w:szCs w:val="24"/>
        </w:rPr>
        <w:t>符合</w:t>
      </w:r>
      <w:r>
        <w:rPr>
          <w:rStyle w:val="translated-span"/>
          <w:rFonts w:ascii="宋体" w:hAnsi="宋体" w:cs="宋体"/>
          <w:sz w:val="24"/>
          <w:szCs w:val="24"/>
        </w:rPr>
        <w:t>严格</w:t>
      </w:r>
      <w:r>
        <w:rPr>
          <w:rStyle w:val="translated-span"/>
          <w:rFonts w:ascii="宋体" w:hAnsi="宋体" w:cs="宋体" w:hint="eastAsia"/>
          <w:sz w:val="24"/>
          <w:szCs w:val="24"/>
        </w:rPr>
        <w:t>纳入</w:t>
      </w:r>
      <w:r>
        <w:rPr>
          <w:rStyle w:val="translated-span"/>
          <w:rFonts w:ascii="宋体" w:hAnsi="宋体" w:cs="宋体"/>
          <w:sz w:val="24"/>
          <w:szCs w:val="24"/>
        </w:rPr>
        <w:t>标准的患者</w:t>
      </w:r>
      <w:r>
        <w:rPr>
          <w:rStyle w:val="translated-span"/>
          <w:rFonts w:ascii="宋体" w:hAnsi="宋体" w:cs="宋体" w:hint="eastAsia"/>
          <w:sz w:val="24"/>
          <w:szCs w:val="24"/>
        </w:rPr>
        <w:t>（即年龄≤65岁，有目击旁观者的CPR，无严重并发症，并在心跳</w:t>
      </w:r>
      <w:proofErr w:type="gramStart"/>
      <w:r>
        <w:rPr>
          <w:rStyle w:val="translated-span"/>
          <w:rFonts w:ascii="宋体" w:hAnsi="宋体" w:cs="宋体" w:hint="eastAsia"/>
          <w:sz w:val="24"/>
          <w:szCs w:val="24"/>
        </w:rPr>
        <w:t>骤</w:t>
      </w:r>
      <w:proofErr w:type="gramEnd"/>
      <w:r>
        <w:rPr>
          <w:rStyle w:val="translated-span"/>
          <w:rFonts w:ascii="宋体" w:hAnsi="宋体" w:cs="宋体" w:hint="eastAsia"/>
          <w:sz w:val="24"/>
          <w:szCs w:val="24"/>
        </w:rPr>
        <w:t>停发生后1小时内安置ECMO）进行亚组分析。</w:t>
      </w:r>
    </w:p>
    <w:p w14:paraId="650E5B4B" w14:textId="4782D868" w:rsidR="00FA08FB" w:rsidRDefault="000E3D8A">
      <w:pPr>
        <w:spacing w:after="202" w:line="360" w:lineRule="auto"/>
        <w:ind w:left="125"/>
        <w:jc w:val="left"/>
        <w:rPr>
          <w:rStyle w:val="translated-span"/>
          <w:rFonts w:ascii="宋体" w:hAnsi="宋体" w:cs="宋体"/>
          <w:sz w:val="24"/>
          <w:szCs w:val="24"/>
        </w:rPr>
      </w:pPr>
      <w:r>
        <w:rPr>
          <w:rStyle w:val="translated-span"/>
          <w:rFonts w:ascii="宋体" w:hAnsi="宋体" w:cs="宋体" w:hint="eastAsia"/>
          <w:b/>
          <w:bCs/>
          <w:sz w:val="24"/>
          <w:szCs w:val="24"/>
        </w:rPr>
        <w:t>结果：</w:t>
      </w:r>
      <w:r>
        <w:rPr>
          <w:rStyle w:val="translated-span"/>
          <w:rFonts w:ascii="宋体" w:hAnsi="宋体" w:cs="宋体" w:hint="eastAsia"/>
          <w:sz w:val="24"/>
          <w:szCs w:val="24"/>
        </w:rPr>
        <w:t>共纳入423例接受ECPR治疗的患者（中位年龄57[48–65]岁；男性78%）；258例（61%）院外心跳骤停（OHCA）患者进行了ECPR。从心脏骤停到实施ECMO的时间为65[48–84]分钟。80例患者（19%）神经功能恢复良好。ICU存活率为24%；23例（5%）非存活者接收器官捐献程序。O</w:t>
      </w:r>
      <w:r>
        <w:rPr>
          <w:rStyle w:val="translated-span"/>
          <w:rFonts w:ascii="宋体" w:hAnsi="宋体" w:cs="宋体"/>
          <w:sz w:val="24"/>
          <w:szCs w:val="24"/>
        </w:rPr>
        <w:t>HCA</w:t>
      </w:r>
      <w:r>
        <w:rPr>
          <w:rStyle w:val="translated-span"/>
          <w:rFonts w:ascii="宋体" w:hAnsi="宋体" w:cs="宋体" w:hint="eastAsia"/>
          <w:sz w:val="24"/>
          <w:szCs w:val="24"/>
        </w:rPr>
        <w:t>患者神经系统功能良好转归率低于院内心脏骤停患者（I</w:t>
      </w:r>
      <w:r>
        <w:rPr>
          <w:rStyle w:val="translated-span"/>
          <w:rFonts w:ascii="宋体" w:hAnsi="宋体" w:cs="宋体"/>
          <w:sz w:val="24"/>
          <w:szCs w:val="24"/>
        </w:rPr>
        <w:t>HCA</w:t>
      </w:r>
      <w:r>
        <w:rPr>
          <w:rStyle w:val="translated-span"/>
          <w:rFonts w:ascii="宋体" w:hAnsi="宋体" w:cs="宋体" w:hint="eastAsia"/>
          <w:sz w:val="24"/>
          <w:szCs w:val="24"/>
        </w:rPr>
        <w:t>）(9%</w:t>
      </w:r>
      <w:r>
        <w:rPr>
          <w:rStyle w:val="translated-span"/>
          <w:rFonts w:ascii="宋体" w:hAnsi="宋体" w:cs="宋体"/>
          <w:sz w:val="24"/>
          <w:szCs w:val="24"/>
        </w:rPr>
        <w:t xml:space="preserve"> </w:t>
      </w:r>
      <w:r>
        <w:rPr>
          <w:rStyle w:val="translated-span"/>
          <w:rFonts w:ascii="宋体" w:hAnsi="宋体" w:cs="宋体" w:hint="eastAsia"/>
          <w:sz w:val="24"/>
          <w:szCs w:val="24"/>
        </w:rPr>
        <w:t>vs.34%，</w:t>
      </w:r>
      <w:r w:rsidRPr="00D71269">
        <w:rPr>
          <w:rStyle w:val="translated-span"/>
          <w:rFonts w:ascii="宋体" w:hAnsi="宋体" w:cs="宋体"/>
          <w:i/>
          <w:iCs/>
          <w:sz w:val="24"/>
          <w:szCs w:val="24"/>
        </w:rPr>
        <w:t>P</w:t>
      </w:r>
      <w:r>
        <w:rPr>
          <w:rStyle w:val="translated-span"/>
          <w:rFonts w:ascii="宋体" w:hAnsi="宋体" w:cs="宋体" w:hint="eastAsia"/>
          <w:sz w:val="24"/>
          <w:szCs w:val="24"/>
        </w:rPr>
        <w:t>＜0.01)，且与较短的从循环衰竭到实施E</w:t>
      </w:r>
      <w:r>
        <w:rPr>
          <w:rStyle w:val="translated-span"/>
          <w:rFonts w:ascii="宋体" w:hAnsi="宋体" w:cs="宋体"/>
          <w:sz w:val="24"/>
          <w:szCs w:val="24"/>
        </w:rPr>
        <w:t>CMO</w:t>
      </w:r>
      <w:r>
        <w:rPr>
          <w:rStyle w:val="translated-span"/>
          <w:rFonts w:ascii="宋体" w:hAnsi="宋体" w:cs="宋体" w:hint="eastAsia"/>
          <w:sz w:val="24"/>
          <w:szCs w:val="24"/>
        </w:rPr>
        <w:t>较短的时间相关。应用严格的ECPR标准（n=105）可使38%的患者获得良好的神经功能结果。</w:t>
      </w:r>
    </w:p>
    <w:p w14:paraId="64B58976" w14:textId="01456016" w:rsidR="00FA08FB" w:rsidRDefault="000E3D8A">
      <w:pPr>
        <w:spacing w:after="64" w:line="360" w:lineRule="auto"/>
        <w:ind w:left="125"/>
        <w:jc w:val="left"/>
        <w:rPr>
          <w:rStyle w:val="translated-span"/>
          <w:rFonts w:ascii="宋体" w:hAnsi="宋体" w:cs="宋体"/>
          <w:sz w:val="24"/>
          <w:szCs w:val="24"/>
        </w:rPr>
      </w:pPr>
      <w:r>
        <w:rPr>
          <w:rStyle w:val="translated-span"/>
          <w:rFonts w:ascii="宋体" w:hAnsi="宋体" w:cs="宋体" w:hint="eastAsia"/>
          <w:b/>
          <w:bCs/>
          <w:sz w:val="24"/>
          <w:szCs w:val="24"/>
        </w:rPr>
        <w:t>结论：</w:t>
      </w:r>
      <w:r>
        <w:rPr>
          <w:rStyle w:val="translated-span"/>
          <w:rFonts w:ascii="宋体" w:hAnsi="宋体" w:cs="宋体" w:hint="eastAsia"/>
          <w:sz w:val="24"/>
          <w:szCs w:val="24"/>
        </w:rPr>
        <w:t xml:space="preserve"> </w:t>
      </w:r>
      <w:r w:rsidRPr="00D71269">
        <w:rPr>
          <w:rStyle w:val="translated-span"/>
          <w:rFonts w:ascii="宋体" w:hAnsi="宋体" w:cs="宋体" w:hint="eastAsia"/>
          <w:color w:val="auto"/>
          <w:sz w:val="24"/>
          <w:szCs w:val="24"/>
        </w:rPr>
        <w:t>未经选择的心脏骤停患者行</w:t>
      </w:r>
      <w:r w:rsidRPr="00D71269">
        <w:rPr>
          <w:rStyle w:val="translated-span"/>
          <w:rFonts w:ascii="宋体" w:hAnsi="宋体" w:cs="宋体"/>
          <w:color w:val="auto"/>
          <w:sz w:val="24"/>
          <w:szCs w:val="24"/>
        </w:rPr>
        <w:t>ECPR</w:t>
      </w:r>
      <w:r w:rsidRPr="00D71269">
        <w:rPr>
          <w:rStyle w:val="translated-span"/>
          <w:rFonts w:ascii="宋体" w:hAnsi="宋体" w:cs="宋体" w:hint="eastAsia"/>
          <w:color w:val="auto"/>
          <w:sz w:val="24"/>
          <w:szCs w:val="24"/>
        </w:rPr>
        <w:t>，</w:t>
      </w:r>
      <w:r w:rsidRPr="00D71269">
        <w:rPr>
          <w:rStyle w:val="translated-span"/>
          <w:rFonts w:ascii="宋体" w:hAnsi="宋体" w:cs="宋体"/>
          <w:color w:val="auto"/>
          <w:sz w:val="24"/>
          <w:szCs w:val="24"/>
        </w:rPr>
        <w:t>19%</w:t>
      </w:r>
      <w:r w:rsidRPr="00D71269">
        <w:rPr>
          <w:rStyle w:val="translated-span"/>
          <w:rFonts w:ascii="宋体" w:hAnsi="宋体" w:cs="宋体" w:hint="eastAsia"/>
          <w:color w:val="auto"/>
          <w:sz w:val="24"/>
          <w:szCs w:val="24"/>
        </w:rPr>
        <w:t>的患者神经功能恢复</w:t>
      </w:r>
      <w:r>
        <w:rPr>
          <w:rStyle w:val="translated-span"/>
          <w:rFonts w:ascii="宋体" w:hAnsi="宋体" w:cs="宋体" w:hint="eastAsia"/>
          <w:color w:val="auto"/>
          <w:sz w:val="24"/>
          <w:szCs w:val="24"/>
        </w:rPr>
        <w:t>良好</w:t>
      </w:r>
      <w:r>
        <w:rPr>
          <w:rStyle w:val="translated-span"/>
          <w:rFonts w:ascii="宋体" w:hAnsi="宋体" w:cs="宋体" w:hint="eastAsia"/>
          <w:sz w:val="24"/>
          <w:szCs w:val="24"/>
        </w:rPr>
        <w:t>；如果采用严格入选标准的患者，则38%的ECPR患者预后良好。</w:t>
      </w:r>
    </w:p>
    <w:p w14:paraId="4E3F3D5D" w14:textId="5D83DC8B" w:rsidR="00FA08FB" w:rsidRDefault="000E3D8A">
      <w:pPr>
        <w:spacing w:after="64" w:line="360" w:lineRule="auto"/>
        <w:ind w:left="125"/>
        <w:jc w:val="left"/>
        <w:rPr>
          <w:rFonts w:ascii="宋体" w:hAnsi="宋体" w:cs="宋体"/>
          <w:sz w:val="24"/>
          <w:szCs w:val="24"/>
        </w:rPr>
      </w:pPr>
      <w:r>
        <w:rPr>
          <w:rStyle w:val="translated-span"/>
          <w:rFonts w:ascii="宋体" w:hAnsi="宋体" w:cs="宋体" w:hint="eastAsia"/>
          <w:b/>
          <w:bCs/>
          <w:sz w:val="24"/>
          <w:szCs w:val="24"/>
        </w:rPr>
        <w:t>关键词：</w:t>
      </w:r>
      <w:r>
        <w:rPr>
          <w:rStyle w:val="translated-span"/>
          <w:rFonts w:ascii="宋体" w:hAnsi="宋体" w:cs="宋体" w:hint="eastAsia"/>
          <w:sz w:val="24"/>
          <w:szCs w:val="24"/>
        </w:rPr>
        <w:t>心脏骤停，ECPR，院内，院外，存活率，神经功能预后</w:t>
      </w:r>
    </w:p>
    <w:p w14:paraId="6B21F7F1" w14:textId="77777777" w:rsidR="00FA08FB" w:rsidRDefault="00FA08FB">
      <w:pPr>
        <w:spacing w:after="0" w:line="360" w:lineRule="auto"/>
        <w:ind w:left="0" w:firstLine="0"/>
        <w:jc w:val="left"/>
        <w:rPr>
          <w:rFonts w:ascii="宋体" w:hAnsi="宋体" w:cs="宋体"/>
          <w:color w:val="auto"/>
          <w:sz w:val="24"/>
          <w:szCs w:val="24"/>
        </w:rPr>
      </w:pPr>
    </w:p>
    <w:p w14:paraId="1131CC9E" w14:textId="26B0B550" w:rsidR="00FA08FB" w:rsidRDefault="000E3D8A">
      <w:pPr>
        <w:pStyle w:val="2"/>
        <w:spacing w:after="218" w:line="360" w:lineRule="auto"/>
        <w:ind w:left="-4"/>
        <w:rPr>
          <w:rFonts w:ascii="宋体" w:hAnsi="宋体"/>
          <w:sz w:val="30"/>
          <w:szCs w:val="30"/>
        </w:rPr>
      </w:pPr>
      <w:r>
        <w:rPr>
          <w:rStyle w:val="translated-span"/>
          <w:rFonts w:ascii="宋体" w:hAnsi="宋体" w:hint="eastAsia"/>
          <w:sz w:val="30"/>
          <w:szCs w:val="30"/>
        </w:rPr>
        <w:lastRenderedPageBreak/>
        <w:t>引言</w:t>
      </w:r>
    </w:p>
    <w:p w14:paraId="3E838AD0" w14:textId="1525B4C6" w:rsidR="00FA08FB" w:rsidRDefault="000E3D8A" w:rsidP="00D71269">
      <w:pPr>
        <w:spacing w:line="360" w:lineRule="auto"/>
        <w:ind w:left="20" w:right="32" w:firstLineChars="200" w:firstLine="480"/>
        <w:rPr>
          <w:rFonts w:ascii="宋体" w:hAnsi="宋体" w:cs="宋体"/>
          <w:sz w:val="24"/>
          <w:szCs w:val="24"/>
        </w:rPr>
      </w:pPr>
      <w:r>
        <w:rPr>
          <w:rStyle w:val="translated-span"/>
          <w:rFonts w:ascii="宋体" w:hAnsi="宋体" w:cs="宋体" w:hint="eastAsia"/>
          <w:sz w:val="24"/>
          <w:szCs w:val="24"/>
        </w:rPr>
        <w:t>心脏骤停（</w:t>
      </w:r>
      <w:r>
        <w:rPr>
          <w:rStyle w:val="translated-span"/>
          <w:rFonts w:ascii="宋体" w:hAnsi="宋体" w:cs="宋体"/>
          <w:sz w:val="24"/>
          <w:szCs w:val="24"/>
        </w:rPr>
        <w:t>Cardiac Arrest</w:t>
      </w:r>
      <w:r>
        <w:rPr>
          <w:rStyle w:val="translated-span"/>
          <w:rFonts w:ascii="宋体" w:hAnsi="宋体" w:cs="宋体" w:hint="eastAsia"/>
          <w:sz w:val="24"/>
          <w:szCs w:val="24"/>
        </w:rPr>
        <w:t>,</w:t>
      </w:r>
      <w:r>
        <w:rPr>
          <w:rStyle w:val="translated-span"/>
          <w:rFonts w:ascii="宋体" w:hAnsi="宋体" w:cs="宋体"/>
          <w:sz w:val="24"/>
          <w:szCs w:val="24"/>
        </w:rPr>
        <w:t xml:space="preserve"> </w:t>
      </w:r>
      <w:r>
        <w:rPr>
          <w:rStyle w:val="translated-span"/>
          <w:rFonts w:ascii="宋体" w:hAnsi="宋体" w:cs="宋体" w:hint="eastAsia"/>
          <w:sz w:val="24"/>
          <w:szCs w:val="24"/>
        </w:rPr>
        <w:t>CA）是世界范围内的一个主要健康问题，其预后较差，总生存率为10-30% 。从CA到复苏的时间是常规心肺复苏（</w:t>
      </w:r>
      <w:r>
        <w:rPr>
          <w:rStyle w:val="translated-span"/>
          <w:rFonts w:ascii="宋体" w:hAnsi="宋体" w:cs="宋体"/>
          <w:sz w:val="24"/>
          <w:szCs w:val="24"/>
        </w:rPr>
        <w:t xml:space="preserve">Conventional Cardiopulmonary Resuscitation, </w:t>
      </w:r>
      <w:r>
        <w:rPr>
          <w:rStyle w:val="translated-span"/>
          <w:rFonts w:ascii="宋体" w:hAnsi="宋体" w:cs="宋体" w:hint="eastAsia"/>
          <w:sz w:val="24"/>
          <w:szCs w:val="24"/>
        </w:rPr>
        <w:t>CCPR）成功的主要预测因素。目击CA事件有利于患者更快得到抢救，尤其是在现场非专业人员早期启动CPR的情况下。电击后复律和可逆的病因都与更好的生存率有关。事实证明，电话辅助心肺复苏和自动体外除颤器的公共设施有效地增加了目击CA患者的生存机率。尽管近年来存活率缓慢而稳定地增加，同时幸存者良好的神经功能转归率上升，但CCPR</w:t>
      </w:r>
      <w:r>
        <w:rPr>
          <w:rStyle w:val="translated-span"/>
          <w:rFonts w:ascii="宋体" w:hAnsi="宋体" w:cs="宋体" w:hint="eastAsia"/>
          <w:strike/>
          <w:sz w:val="24"/>
          <w:szCs w:val="24"/>
        </w:rPr>
        <w:t>仍在</w:t>
      </w:r>
      <w:r>
        <w:rPr>
          <w:rStyle w:val="translated-span"/>
          <w:rFonts w:ascii="宋体" w:hAnsi="宋体" w:cs="宋体" w:hint="eastAsia"/>
          <w:sz w:val="24"/>
          <w:szCs w:val="24"/>
        </w:rPr>
        <w:t>许多情况下仍未能成功。</w:t>
      </w:r>
    </w:p>
    <w:p w14:paraId="577116FE" w14:textId="7501BE97" w:rsidR="00FA08FB" w:rsidRDefault="000E3D8A">
      <w:pPr>
        <w:spacing w:line="360" w:lineRule="auto"/>
        <w:ind w:right="32" w:firstLineChars="200" w:firstLine="480"/>
        <w:rPr>
          <w:rFonts w:ascii="宋体" w:hAnsi="宋体" w:cs="宋体"/>
          <w:sz w:val="24"/>
          <w:szCs w:val="24"/>
        </w:rPr>
      </w:pPr>
      <w:r>
        <w:rPr>
          <w:rStyle w:val="translated-span"/>
          <w:rFonts w:ascii="宋体" w:hAnsi="宋体" w:cs="宋体" w:hint="eastAsia"/>
          <w:sz w:val="24"/>
          <w:szCs w:val="24"/>
        </w:rPr>
        <w:t>CCPR 超过30分钟后，恢复自主循环（</w:t>
      </w:r>
      <w:r>
        <w:rPr>
          <w:rStyle w:val="translated-span"/>
          <w:rFonts w:ascii="宋体" w:hAnsi="宋体" w:cs="宋体"/>
          <w:sz w:val="24"/>
          <w:szCs w:val="24"/>
        </w:rPr>
        <w:t xml:space="preserve">Return of Spontaneous Circulation, </w:t>
      </w:r>
      <w:r>
        <w:rPr>
          <w:rStyle w:val="translated-span"/>
          <w:rFonts w:ascii="宋体" w:hAnsi="宋体" w:cs="宋体" w:hint="eastAsia"/>
          <w:sz w:val="24"/>
          <w:szCs w:val="24"/>
        </w:rPr>
        <w:t>ROSC）和良好的远期神经功能的</w:t>
      </w:r>
      <w:r w:rsidR="002F5B23">
        <w:rPr>
          <w:rStyle w:val="translated-span"/>
          <w:rFonts w:ascii="宋体" w:hAnsi="宋体" w:cs="宋体" w:hint="eastAsia"/>
          <w:sz w:val="24"/>
          <w:szCs w:val="24"/>
        </w:rPr>
        <w:t>机率</w:t>
      </w:r>
      <w:r>
        <w:rPr>
          <w:rStyle w:val="translated-span"/>
          <w:rFonts w:ascii="宋体" w:hAnsi="宋体" w:cs="宋体" w:hint="eastAsia"/>
          <w:sz w:val="24"/>
          <w:szCs w:val="24"/>
        </w:rPr>
        <w:t>很小。因此，在尝试复苏心脏的同时，采用新的干预措施来保证CA期间器官的充分灌注可以延长器官的存活时间。近年来，静脉-动脉体外膜肺氧合（</w:t>
      </w:r>
      <w:r>
        <w:rPr>
          <w:rStyle w:val="translated-span"/>
          <w:rFonts w:ascii="宋体" w:hAnsi="宋体" w:cs="宋体"/>
          <w:sz w:val="24"/>
          <w:szCs w:val="24"/>
        </w:rPr>
        <w:t xml:space="preserve">Extracorporeal Membrane Oxygenation, </w:t>
      </w:r>
      <w:r>
        <w:rPr>
          <w:rStyle w:val="translated-span"/>
          <w:rFonts w:ascii="宋体" w:hAnsi="宋体" w:cs="宋体" w:hint="eastAsia"/>
          <w:sz w:val="24"/>
          <w:szCs w:val="24"/>
        </w:rPr>
        <w:t>ECMO）在世界范围内广泛应用于难治性CA的抢救。一些病例已经发表并揭示了体外心肺复苏（</w:t>
      </w:r>
      <w:r>
        <w:rPr>
          <w:rStyle w:val="translated-span"/>
          <w:rFonts w:ascii="宋体" w:hAnsi="宋体" w:cs="宋体"/>
          <w:sz w:val="24"/>
          <w:szCs w:val="24"/>
        </w:rPr>
        <w:t xml:space="preserve">Extracorporeal CPR, </w:t>
      </w:r>
      <w:r>
        <w:rPr>
          <w:rStyle w:val="translated-span"/>
          <w:rFonts w:ascii="宋体" w:hAnsi="宋体" w:cs="宋体" w:hint="eastAsia"/>
          <w:sz w:val="24"/>
          <w:szCs w:val="24"/>
        </w:rPr>
        <w:t>ECPR）对患者存活率和神经系统预后的影响的有积极意义。然而，这些发现的普适性受到复苏指南应用的地区差异的限制；因此，美国心脏协会的指南仍然不鼓励对难治性CA常规使用ECPR，建议仅在有训练有素的医生的专业中心进行尝试，并且仅对精心挑选的患者队列进行尝试。不过，目前还没有就遴选标准达成共识。</w:t>
      </w:r>
    </w:p>
    <w:p w14:paraId="1A5FF1B1" w14:textId="4B6C0BF3" w:rsidR="00FA08FB" w:rsidRDefault="000E3D8A">
      <w:pPr>
        <w:spacing w:line="360" w:lineRule="auto"/>
        <w:ind w:right="32" w:firstLineChars="200" w:firstLine="480"/>
        <w:rPr>
          <w:rStyle w:val="translated-span"/>
          <w:rFonts w:ascii="宋体" w:hAnsi="宋体" w:cs="宋体"/>
          <w:sz w:val="24"/>
          <w:szCs w:val="24"/>
        </w:rPr>
      </w:pPr>
      <w:r>
        <w:rPr>
          <w:rStyle w:val="translated-span"/>
          <w:rFonts w:ascii="宋体" w:hAnsi="宋体" w:cs="宋体" w:hint="eastAsia"/>
          <w:sz w:val="24"/>
          <w:szCs w:val="24"/>
        </w:rPr>
        <w:t>欧洲ECPR系列研究，既显示了院外CA（OHCA）和院内CA（IHCA）E</w:t>
      </w:r>
      <w:r>
        <w:rPr>
          <w:rStyle w:val="translated-span"/>
          <w:rFonts w:ascii="宋体" w:hAnsi="宋体" w:cs="宋体"/>
          <w:sz w:val="24"/>
          <w:szCs w:val="24"/>
        </w:rPr>
        <w:t>CPR</w:t>
      </w:r>
      <w:r>
        <w:rPr>
          <w:rStyle w:val="translated-span"/>
          <w:rFonts w:ascii="宋体" w:hAnsi="宋体" w:cs="宋体" w:hint="eastAsia"/>
          <w:sz w:val="24"/>
          <w:szCs w:val="24"/>
        </w:rPr>
        <w:t>很有希望的结果，也显示了O</w:t>
      </w:r>
      <w:r>
        <w:rPr>
          <w:rStyle w:val="translated-span"/>
          <w:rFonts w:ascii="宋体" w:hAnsi="宋体" w:cs="宋体"/>
          <w:sz w:val="24"/>
          <w:szCs w:val="24"/>
        </w:rPr>
        <w:t>HCA</w:t>
      </w:r>
      <w:r>
        <w:rPr>
          <w:rStyle w:val="translated-span"/>
          <w:rFonts w:ascii="宋体" w:hAnsi="宋体" w:cs="宋体" w:hint="eastAsia"/>
          <w:sz w:val="24"/>
          <w:szCs w:val="24"/>
        </w:rPr>
        <w:t>患者E</w:t>
      </w:r>
      <w:r>
        <w:rPr>
          <w:rStyle w:val="translated-span"/>
          <w:rFonts w:ascii="宋体" w:hAnsi="宋体" w:cs="宋体"/>
          <w:sz w:val="24"/>
          <w:szCs w:val="24"/>
        </w:rPr>
        <w:t>CPR</w:t>
      </w:r>
      <w:r>
        <w:rPr>
          <w:rStyle w:val="translated-span"/>
          <w:rFonts w:ascii="宋体" w:hAnsi="宋体" w:cs="宋体" w:hint="eastAsia"/>
          <w:sz w:val="24"/>
          <w:szCs w:val="24"/>
        </w:rPr>
        <w:t>的存活率非常令人失望。然而，队列相对较小，从CA到ECMO植入有明显的延迟。在欧洲中心尚缺乏关于难治性CA和ECPR的大型队列研究。此外，当ECMO实施后诊断为严重缺氧后脑损伤时，部分患者可考虑器官捐献。这一选择将为社区带来好处，并可能成为ECPR相对于CCPR的另一个潜在优势。</w:t>
      </w:r>
    </w:p>
    <w:p w14:paraId="2757ACFB" w14:textId="75D6D671" w:rsidR="00FA08FB" w:rsidRDefault="000E3D8A" w:rsidP="00D71269">
      <w:pPr>
        <w:spacing w:after="232" w:line="360" w:lineRule="auto"/>
        <w:ind w:right="32" w:firstLineChars="200" w:firstLine="480"/>
        <w:rPr>
          <w:rFonts w:ascii="宋体" w:hAnsi="宋体" w:cs="宋体"/>
          <w:sz w:val="24"/>
          <w:szCs w:val="24"/>
        </w:rPr>
      </w:pPr>
      <w:r>
        <w:rPr>
          <w:rStyle w:val="translated-span"/>
          <w:rFonts w:ascii="宋体" w:hAnsi="宋体" w:cs="宋体" w:hint="eastAsia"/>
          <w:sz w:val="24"/>
          <w:szCs w:val="24"/>
        </w:rPr>
        <w:t>本研究的主要目的是评估一项大型欧洲多中心队列ECPR研究的结果，特别是评估存活率、神经系统预后和器官捐献率。我们还特别考虑了严格的ECPR纳入标准是否能产生更好的结果，如前所示。次要转归包括ECPR患者的脑外器官功能障碍和治疗干预。</w:t>
      </w:r>
    </w:p>
    <w:p w14:paraId="6993D6D9" w14:textId="77777777" w:rsidR="00FA08FB" w:rsidRDefault="000E3D8A">
      <w:pPr>
        <w:pStyle w:val="2"/>
        <w:spacing w:line="360" w:lineRule="auto"/>
        <w:ind w:left="-4"/>
        <w:rPr>
          <w:rFonts w:ascii="宋体" w:hAnsi="宋体"/>
          <w:sz w:val="30"/>
          <w:szCs w:val="30"/>
        </w:rPr>
      </w:pPr>
      <w:r>
        <w:rPr>
          <w:rStyle w:val="translated-span"/>
          <w:rFonts w:ascii="宋体" w:hAnsi="宋体" w:hint="eastAsia"/>
          <w:sz w:val="30"/>
          <w:szCs w:val="30"/>
        </w:rPr>
        <w:lastRenderedPageBreak/>
        <w:t>方法</w:t>
      </w:r>
    </w:p>
    <w:p w14:paraId="67A62F7A" w14:textId="77777777" w:rsidR="00FA08FB" w:rsidRDefault="000E3D8A">
      <w:pPr>
        <w:pStyle w:val="3"/>
        <w:spacing w:line="360" w:lineRule="auto"/>
        <w:ind w:left="-4"/>
        <w:rPr>
          <w:rFonts w:ascii="宋体" w:hAnsi="宋体"/>
          <w:sz w:val="24"/>
          <w:szCs w:val="24"/>
        </w:rPr>
      </w:pPr>
      <w:r>
        <w:rPr>
          <w:rStyle w:val="translated-span"/>
          <w:rFonts w:ascii="宋体" w:hAnsi="宋体" w:hint="eastAsia"/>
          <w:sz w:val="24"/>
          <w:szCs w:val="24"/>
        </w:rPr>
        <w:t>研究人群</w:t>
      </w:r>
    </w:p>
    <w:p w14:paraId="6D7843B1" w14:textId="48910B59" w:rsidR="00FA08FB" w:rsidRDefault="000E3D8A" w:rsidP="00D71269">
      <w:pPr>
        <w:spacing w:line="360" w:lineRule="auto"/>
        <w:ind w:left="20" w:right="32" w:firstLineChars="200" w:firstLine="480"/>
        <w:rPr>
          <w:rFonts w:ascii="宋体" w:hAnsi="宋体" w:cs="宋体"/>
          <w:sz w:val="24"/>
          <w:szCs w:val="24"/>
        </w:rPr>
      </w:pPr>
      <w:r>
        <w:rPr>
          <w:rStyle w:val="translated-span"/>
          <w:rFonts w:ascii="宋体" w:hAnsi="宋体" w:cs="宋体" w:hint="eastAsia"/>
          <w:sz w:val="24"/>
          <w:szCs w:val="24"/>
        </w:rPr>
        <w:t>这项回顾性研究在欧洲五个不同的重症监护病房（布鲁塞尔、雷根斯堡、斯德哥尔摩、帕维亚和米兰）进行。研究方案由各地方伦理委员会批准；从2012年1月至2016年12月的医学图表和机构ECMO数据库中确定了五个中心接受ECPR治疗的难治性IHCA或OHCA患者。</w:t>
      </w:r>
    </w:p>
    <w:p w14:paraId="39C9DE7A" w14:textId="77777777" w:rsidR="00FA08FB" w:rsidRPr="00D71269" w:rsidRDefault="000E3D8A">
      <w:pPr>
        <w:pStyle w:val="3"/>
        <w:spacing w:line="360" w:lineRule="auto"/>
        <w:ind w:left="-4"/>
        <w:rPr>
          <w:rFonts w:ascii="宋体" w:hAnsi="宋体"/>
          <w:sz w:val="24"/>
          <w:szCs w:val="24"/>
        </w:rPr>
      </w:pPr>
      <w:r w:rsidRPr="00D71269">
        <w:rPr>
          <w:rStyle w:val="translated-span"/>
          <w:rFonts w:ascii="宋体" w:hAnsi="宋体" w:hint="eastAsia"/>
          <w:sz w:val="24"/>
          <w:szCs w:val="24"/>
        </w:rPr>
        <w:t>数据收集</w:t>
      </w:r>
    </w:p>
    <w:p w14:paraId="1068CDDB" w14:textId="3B5FD6C4" w:rsidR="00FA08FB" w:rsidRDefault="000E3D8A" w:rsidP="00D71269">
      <w:pPr>
        <w:spacing w:line="360" w:lineRule="auto"/>
        <w:ind w:left="20" w:right="32" w:firstLineChars="200" w:firstLine="480"/>
        <w:rPr>
          <w:rStyle w:val="translated-span"/>
          <w:rFonts w:ascii="宋体" w:hAnsi="宋体" w:cs="宋体"/>
          <w:b/>
          <w:bCs/>
          <w:sz w:val="24"/>
          <w:szCs w:val="24"/>
        </w:rPr>
      </w:pPr>
      <w:r>
        <w:rPr>
          <w:rStyle w:val="translated-span"/>
          <w:rFonts w:ascii="宋体" w:hAnsi="宋体" w:cs="宋体" w:hint="eastAsia"/>
          <w:sz w:val="24"/>
          <w:szCs w:val="24"/>
        </w:rPr>
        <w:t>有关ECPR管理的详细信息见补充材料。本研究收集了人口统计学和并发症数据（即高血压、糖尿病、呼吸系统疾病、缺血性心脏病病史、既往心衰或肾衰竭、肝硬化、实体癌或血液癌、免疫抑制治疗和既往神经系统疾病，可能引起认知或其他神经血管障碍的疾病）。记录复苏情况，包括心脏骤停的位置和原因、救援小组报告的原发性心律、目击骤停、旁观者心肺复苏、肾上腺素剂量、除颤次数、院前降温程序的使用（仅适用于OHCA）和机械心肺复苏。ECMO时间定义为从骤停到ECMO启动的时间；在有心脏骤停目击者的情况下，E</w:t>
      </w:r>
      <w:r>
        <w:rPr>
          <w:rStyle w:val="translated-span"/>
          <w:rFonts w:ascii="宋体" w:hAnsi="宋体" w:cs="宋体"/>
          <w:sz w:val="24"/>
          <w:szCs w:val="24"/>
        </w:rPr>
        <w:t>CMO</w:t>
      </w:r>
      <w:r>
        <w:rPr>
          <w:rStyle w:val="translated-span"/>
          <w:rFonts w:ascii="宋体" w:hAnsi="宋体" w:cs="宋体" w:hint="eastAsia"/>
          <w:sz w:val="24"/>
          <w:szCs w:val="24"/>
        </w:rPr>
        <w:t>时间被定义为从呼叫到确定ECMO开始的时间。收集ECMO开始时的核心温度、MAP和乳酸水平以及ICU期间的最高乳酸水平、使用血管升压药、正性肌力药、肾替代治疗（RRT），是否有大量出血（定义为基线血红蛋白减少2g/dL，24小时内至少需要输注4U浓缩红细胞）等临床资料。报告插管部位出血或与插管定位相关的任何并发症（即缺血、血栓形成、感染）。ICU期间RBCT总数、ECMO前2天抗凝治疗的使用和气管造口术的使用数据同时进行收集。在入院前2天采集ECMO血流量、气体流量和</w:t>
      </w:r>
      <w:r>
        <w:rPr>
          <w:rStyle w:val="translated-span"/>
          <w:rFonts w:ascii="宋体" w:hAnsi="宋体" w:cs="宋体"/>
          <w:sz w:val="24"/>
          <w:szCs w:val="24"/>
        </w:rPr>
        <w:t>F</w:t>
      </w:r>
      <w:r>
        <w:rPr>
          <w:rStyle w:val="translated-span"/>
          <w:rFonts w:ascii="宋体" w:hAnsi="宋体" w:cs="宋体" w:hint="eastAsia"/>
          <w:sz w:val="24"/>
          <w:szCs w:val="24"/>
        </w:rPr>
        <w:t>i</w:t>
      </w:r>
      <w:r>
        <w:rPr>
          <w:rStyle w:val="translated-span"/>
          <w:rFonts w:ascii="宋体" w:hAnsi="宋体" w:cs="宋体"/>
          <w:sz w:val="24"/>
          <w:szCs w:val="24"/>
        </w:rPr>
        <w:t>O</w:t>
      </w:r>
      <w:r>
        <w:rPr>
          <w:rStyle w:val="translated-span"/>
          <w:rFonts w:ascii="宋体" w:hAnsi="宋体" w:cs="宋体" w:hint="eastAsia"/>
          <w:sz w:val="24"/>
          <w:szCs w:val="24"/>
        </w:rPr>
        <w:t>2。收集ECMO持续时间、ICU住院时间、ICU死亡率、死亡时间和死因（难治性休克、脑损伤、脑死亡、严重出血、多器官衰竭或感染性休克）等临床数据。</w:t>
      </w:r>
    </w:p>
    <w:p w14:paraId="1FAE14BD" w14:textId="66BEF9BD" w:rsidR="00FA08FB" w:rsidRPr="00D71269" w:rsidRDefault="000E3D8A">
      <w:pPr>
        <w:spacing w:line="360" w:lineRule="auto"/>
        <w:ind w:left="20" w:right="32"/>
        <w:rPr>
          <w:rStyle w:val="translated-span"/>
        </w:rPr>
      </w:pPr>
      <w:r w:rsidRPr="00D71269">
        <w:rPr>
          <w:rStyle w:val="translated-span"/>
          <w:rFonts w:ascii="宋体" w:hAnsi="宋体" w:cs="宋体" w:hint="eastAsia"/>
          <w:b/>
          <w:bCs/>
          <w:sz w:val="24"/>
          <w:szCs w:val="24"/>
        </w:rPr>
        <w:t>研究结局指标</w:t>
      </w:r>
    </w:p>
    <w:p w14:paraId="745E69C1" w14:textId="0C8B278B" w:rsidR="00FA08FB" w:rsidRDefault="000E3D8A" w:rsidP="00D71269">
      <w:pPr>
        <w:spacing w:line="360" w:lineRule="auto"/>
        <w:ind w:left="20" w:right="32" w:firstLineChars="200" w:firstLine="480"/>
        <w:rPr>
          <w:rStyle w:val="translated-span"/>
          <w:rFonts w:ascii="宋体" w:hAnsi="宋体" w:cs="宋体"/>
          <w:sz w:val="24"/>
          <w:szCs w:val="24"/>
        </w:rPr>
      </w:pPr>
      <w:r>
        <w:rPr>
          <w:rStyle w:val="translated-span"/>
          <w:rFonts w:ascii="宋体" w:hAnsi="宋体" w:cs="宋体" w:hint="eastAsia"/>
          <w:sz w:val="24"/>
          <w:szCs w:val="24"/>
        </w:rPr>
        <w:t>本研究的主要结局指标是使用脑功能分类（CPC）量表评估CA后3个月的神经功能结果（FO）。1分或2分被认为是良好的，而3-5分则是受损的神经功能或死亡。</w:t>
      </w:r>
      <w:r>
        <w:rPr>
          <w:rStyle w:val="translated-span"/>
          <w:rFonts w:ascii="宋体" w:hAnsi="宋体" w:cs="宋体" w:hint="eastAsia"/>
          <w:strike/>
          <w:sz w:val="24"/>
          <w:szCs w:val="24"/>
        </w:rPr>
        <w:t>神经状态是从报告幸存者随访的重复医学图表中收集的。</w:t>
      </w:r>
      <w:r>
        <w:rPr>
          <w:rStyle w:val="translated-span"/>
          <w:rFonts w:ascii="宋体" w:hAnsi="宋体" w:cs="宋体" w:hint="eastAsia"/>
          <w:sz w:val="24"/>
          <w:szCs w:val="24"/>
        </w:rPr>
        <w:t>我们还记录了在ICU期间（CPC1–2，FO）出现完全神经恢复但最终死于非</w:t>
      </w:r>
      <w:proofErr w:type="gramStart"/>
      <w:r>
        <w:rPr>
          <w:rStyle w:val="translated-span"/>
          <w:rFonts w:ascii="宋体" w:hAnsi="宋体" w:cs="宋体" w:hint="eastAsia"/>
          <w:sz w:val="24"/>
          <w:szCs w:val="24"/>
        </w:rPr>
        <w:t>神经原</w:t>
      </w:r>
      <w:proofErr w:type="gramEnd"/>
      <w:r>
        <w:rPr>
          <w:rStyle w:val="translated-span"/>
          <w:rFonts w:ascii="宋体" w:hAnsi="宋体" w:cs="宋体" w:hint="eastAsia"/>
          <w:sz w:val="24"/>
          <w:szCs w:val="24"/>
        </w:rPr>
        <w:t>因的患者。次要结果包括存活至ICU出院和实施器官捐献程序的非存活人数。我们认为FO</w:t>
      </w:r>
      <w:r>
        <w:rPr>
          <w:rStyle w:val="translated-span"/>
          <w:rFonts w:ascii="宋体" w:hAnsi="宋体" w:cs="宋体" w:hint="eastAsia"/>
          <w:sz w:val="24"/>
          <w:szCs w:val="24"/>
        </w:rPr>
        <w:lastRenderedPageBreak/>
        <w:t>患者和有资格捐献器官的患者的数量是“有利的累积结果”（见“说明”）。最后，我们报告了ICU住院期间的器官功能障碍，定义见“定义”。</w:t>
      </w:r>
    </w:p>
    <w:p w14:paraId="650BFBCF" w14:textId="5178BB10" w:rsidR="00FA08FB" w:rsidRDefault="000E3D8A">
      <w:pPr>
        <w:spacing w:line="360" w:lineRule="auto"/>
        <w:ind w:left="20" w:right="32"/>
        <w:rPr>
          <w:rFonts w:ascii="宋体" w:hAnsi="宋体" w:cs="宋体"/>
          <w:sz w:val="24"/>
          <w:szCs w:val="24"/>
        </w:rPr>
      </w:pPr>
      <w:r>
        <w:rPr>
          <w:rStyle w:val="translated-span"/>
          <w:rFonts w:ascii="宋体" w:hAnsi="宋体" w:cs="宋体" w:hint="eastAsia"/>
          <w:b/>
          <w:bCs/>
          <w:sz w:val="24"/>
          <w:szCs w:val="24"/>
        </w:rPr>
        <w:t>定义</w:t>
      </w:r>
    </w:p>
    <w:p w14:paraId="17C82738" w14:textId="04A0EA9C" w:rsidR="00FA08FB" w:rsidRDefault="000E3D8A" w:rsidP="00D71269">
      <w:pPr>
        <w:spacing w:after="0" w:line="360" w:lineRule="auto"/>
        <w:ind w:left="23" w:right="34" w:firstLineChars="200" w:firstLine="480"/>
        <w:rPr>
          <w:rStyle w:val="translated-span"/>
        </w:rPr>
      </w:pPr>
      <w:r>
        <w:rPr>
          <w:rStyle w:val="translated-span"/>
          <w:rFonts w:ascii="宋体" w:hAnsi="宋体" w:cs="宋体" w:hint="eastAsia"/>
          <w:sz w:val="24"/>
          <w:szCs w:val="24"/>
        </w:rPr>
        <w:t>严重心血管功能不全被定义为在ICU期间进行的连续器官衰竭评估心血管分项评分为4分。在使用ECMO期间，双侧肺部浸润被报告为严重呼吸衰竭的迹象。急性肾损伤（AKI）是根据改良整体肾脏疾病预后（KDIGO）标准定义的。缺氧性肝炎被定义为AST和/或ALT升高超过正常上限20倍(≤ 50 IU/L），即在CA后发生急性心血管衰竭且无其他细胞坏死原因的情况下A</w:t>
      </w:r>
      <w:r>
        <w:rPr>
          <w:rStyle w:val="translated-span"/>
          <w:rFonts w:ascii="宋体" w:hAnsi="宋体" w:cs="宋体"/>
          <w:sz w:val="24"/>
          <w:szCs w:val="24"/>
        </w:rPr>
        <w:t>ST</w:t>
      </w:r>
      <w:r>
        <w:rPr>
          <w:rStyle w:val="translated-span"/>
          <w:rFonts w:ascii="宋体" w:hAnsi="宋体" w:cs="宋体" w:hint="eastAsia"/>
          <w:sz w:val="24"/>
          <w:szCs w:val="24"/>
        </w:rPr>
        <w:t>或A</w:t>
      </w:r>
      <w:r>
        <w:rPr>
          <w:rStyle w:val="translated-span"/>
          <w:rFonts w:ascii="宋体" w:hAnsi="宋体" w:cs="宋体"/>
          <w:sz w:val="24"/>
          <w:szCs w:val="24"/>
        </w:rPr>
        <w:t>LT</w:t>
      </w:r>
      <w:r>
        <w:rPr>
          <w:rStyle w:val="translated-span"/>
          <w:rFonts w:ascii="宋体" w:hAnsi="宋体" w:cs="宋体" w:hint="eastAsia"/>
          <w:sz w:val="24"/>
          <w:szCs w:val="24"/>
        </w:rPr>
        <w:t>＞1000 IU/L。DIC的定义符合标准。对于有临床资料的患者，心脏恢复被定义为超声心动图上左室射血分数（LVEF）＞35%，肾功能恢复被定义为血清肌</w:t>
      </w:r>
      <w:proofErr w:type="gramStart"/>
      <w:r>
        <w:rPr>
          <w:rStyle w:val="translated-span"/>
          <w:rFonts w:ascii="宋体" w:hAnsi="宋体" w:cs="宋体" w:hint="eastAsia"/>
          <w:sz w:val="24"/>
          <w:szCs w:val="24"/>
        </w:rPr>
        <w:t>酐</w:t>
      </w:r>
      <w:proofErr w:type="gramEnd"/>
      <w:r>
        <w:rPr>
          <w:rStyle w:val="translated-span"/>
          <w:rFonts w:ascii="宋体" w:hAnsi="宋体" w:cs="宋体" w:hint="eastAsia"/>
          <w:sz w:val="24"/>
          <w:szCs w:val="24"/>
        </w:rPr>
        <w:t>＜1.0 mg/dL，无肾脏替代治疗时尿量＞1500 mL/天，肝功能恢复被定义为AST/ALT＜100 IU/L。器官捐献的资格是从患有脑死亡或不可逆脑损伤和循环系统死亡（即马斯特里赫特定义的第三类）的患者那里收集的。我们还收集了有关器官是否最终被移植用于捐献或不进行移植的原因的信息。</w:t>
      </w:r>
    </w:p>
    <w:p w14:paraId="74953BD9" w14:textId="55009B57" w:rsidR="00FA08FB" w:rsidRDefault="000E3D8A" w:rsidP="00D71269">
      <w:pPr>
        <w:pStyle w:val="3"/>
        <w:spacing w:line="360" w:lineRule="auto"/>
        <w:ind w:left="0" w:firstLine="0"/>
        <w:rPr>
          <w:rFonts w:ascii="宋体" w:hAnsi="宋体"/>
          <w:sz w:val="24"/>
          <w:szCs w:val="24"/>
        </w:rPr>
      </w:pPr>
      <w:r>
        <w:rPr>
          <w:rStyle w:val="translated-span"/>
          <w:rFonts w:ascii="宋体" w:hAnsi="宋体" w:hint="eastAsia"/>
          <w:sz w:val="24"/>
          <w:szCs w:val="24"/>
        </w:rPr>
        <w:t>数据分析流程</w:t>
      </w:r>
    </w:p>
    <w:p w14:paraId="1C25EFFE" w14:textId="6E8BB27E" w:rsidR="00FA08FB" w:rsidRDefault="000E3D8A" w:rsidP="00D71269">
      <w:pPr>
        <w:spacing w:after="240" w:line="360" w:lineRule="auto"/>
        <w:ind w:left="20" w:right="32" w:firstLineChars="200" w:firstLine="480"/>
        <w:rPr>
          <w:rFonts w:ascii="宋体" w:hAnsi="宋体" w:cs="宋体"/>
          <w:sz w:val="24"/>
          <w:szCs w:val="24"/>
        </w:rPr>
      </w:pPr>
      <w:r>
        <w:rPr>
          <w:rStyle w:val="translated-span"/>
          <w:rFonts w:ascii="宋体" w:hAnsi="宋体" w:cs="宋体" w:hint="eastAsia"/>
          <w:sz w:val="24"/>
          <w:szCs w:val="24"/>
        </w:rPr>
        <w:t>对数据进行正态性检验，并根据不同情况以中位数（四分位间）或平均值 (± 标准偏差）表示。分类变量表示为率（n%）。用Fisher精确检验比较分类变量，用Mann-Whitney U检验比较连续变量。根据不同的ROSC时间（例如≤ 30分钟、31-45分钟、46-60分钟、61-90分钟和＞90分钟）以及根据骤停地点（OHCA与IHCA）分析患者存活率和预后情况。预后良好的生存率定义为从心肺复苏到CA后3个月恢复的时间，如果没有随访数据，出院时审核患者</w:t>
      </w:r>
      <w:r>
        <w:rPr>
          <w:rStyle w:val="translated-span"/>
          <w:rFonts w:ascii="宋体" w:hAnsi="宋体" w:cs="宋体"/>
          <w:sz w:val="24"/>
          <w:szCs w:val="24"/>
        </w:rPr>
        <w:t>FO</w:t>
      </w:r>
      <w:r>
        <w:rPr>
          <w:rStyle w:val="translated-span"/>
          <w:rFonts w:ascii="宋体" w:hAnsi="宋体" w:cs="宋体" w:hint="eastAsia"/>
          <w:sz w:val="24"/>
          <w:szCs w:val="24"/>
        </w:rPr>
        <w:t>。Kaplan–Meier生存曲线用于评估两组（OHCA与IHCA）患者在CA后3个月内的存活率或FO比例。考虑到ECPR的使用必须筛选患者，我们还考虑使用更严格的ECPR纳入标准对存活率和FO进行额外分析，这些与ECPR中最有可能的良好结果相关，包括（a）年龄≤ 65岁； (b） 目击心脏骤停与旁观者心肺复苏； (c） 无重大并发症（即无晚期疾病、癌症、终末期肝硬化、既往严重认知障碍）；(d） 在骤停后1小时内启动ECMO的能力。由于FO事件数量有限，模型中考虑的解释变量为年龄、性别、既往心脏病史、心脏停搏原因、旁观者CPR、初始电击心律、肾上腺素剂量、停搏至ECMO的时间和最大乳酸水平。估计效果（关联</w:t>
      </w:r>
      <w:r>
        <w:rPr>
          <w:rStyle w:val="translated-span"/>
          <w:rFonts w:ascii="宋体" w:hAnsi="宋体" w:cs="宋体" w:hint="eastAsia"/>
          <w:sz w:val="24"/>
          <w:szCs w:val="24"/>
        </w:rPr>
        <w:lastRenderedPageBreak/>
        <w:t>度）以优势比（OR）及其95%置信区间给出。在两个</w:t>
      </w:r>
      <w:proofErr w:type="gramStart"/>
      <w:r>
        <w:rPr>
          <w:rStyle w:val="translated-span"/>
          <w:rFonts w:ascii="宋体" w:hAnsi="宋体" w:cs="宋体" w:hint="eastAsia"/>
          <w:sz w:val="24"/>
          <w:szCs w:val="24"/>
        </w:rPr>
        <w:t>多水平</w:t>
      </w:r>
      <w:proofErr w:type="gramEnd"/>
      <w:r>
        <w:rPr>
          <w:rStyle w:val="translated-span"/>
          <w:rFonts w:ascii="宋体" w:hAnsi="宋体" w:cs="宋体" w:hint="eastAsia"/>
          <w:sz w:val="24"/>
          <w:szCs w:val="24"/>
        </w:rPr>
        <w:t>分析之前，评估变量之间的协变量。所有测试都是双尾的，p值小于0.05被认为具有统计学意义。使用SPSS程序（IBM SPSS Statistics 24.0 for windows）进行统计分析。</w:t>
      </w:r>
    </w:p>
    <w:p w14:paraId="767495FF" w14:textId="77777777" w:rsidR="00FA08FB" w:rsidRDefault="000E3D8A">
      <w:pPr>
        <w:pStyle w:val="2"/>
        <w:spacing w:line="360" w:lineRule="auto"/>
        <w:ind w:left="-4"/>
        <w:rPr>
          <w:rFonts w:ascii="宋体" w:hAnsi="宋体"/>
          <w:sz w:val="30"/>
          <w:szCs w:val="30"/>
        </w:rPr>
      </w:pPr>
      <w:r>
        <w:rPr>
          <w:rStyle w:val="translated-span"/>
          <w:rFonts w:ascii="宋体" w:hAnsi="宋体" w:hint="eastAsia"/>
          <w:sz w:val="30"/>
          <w:szCs w:val="30"/>
        </w:rPr>
        <w:t>结果</w:t>
      </w:r>
    </w:p>
    <w:p w14:paraId="71AB56B6" w14:textId="77777777" w:rsidR="00FA08FB" w:rsidRDefault="000E3D8A">
      <w:pPr>
        <w:pStyle w:val="3"/>
        <w:spacing w:line="360" w:lineRule="auto"/>
        <w:ind w:left="-4"/>
        <w:rPr>
          <w:rFonts w:ascii="宋体" w:hAnsi="宋体"/>
          <w:sz w:val="24"/>
          <w:szCs w:val="24"/>
        </w:rPr>
      </w:pPr>
      <w:r>
        <w:rPr>
          <w:rStyle w:val="translated-span"/>
          <w:rFonts w:ascii="宋体" w:hAnsi="宋体" w:hint="eastAsia"/>
          <w:sz w:val="24"/>
          <w:szCs w:val="24"/>
        </w:rPr>
        <w:t>研究队列的一般特征</w:t>
      </w:r>
    </w:p>
    <w:p w14:paraId="5B7F0B65" w14:textId="19E78012" w:rsidR="00FA08FB" w:rsidRDefault="000E3D8A" w:rsidP="00D71269">
      <w:pPr>
        <w:spacing w:line="360" w:lineRule="auto"/>
        <w:ind w:left="20" w:right="32" w:firstLineChars="200" w:firstLine="480"/>
        <w:rPr>
          <w:rFonts w:ascii="宋体" w:hAnsi="宋体" w:cs="宋体"/>
          <w:sz w:val="24"/>
          <w:szCs w:val="24"/>
        </w:rPr>
      </w:pPr>
      <w:r>
        <w:rPr>
          <w:rStyle w:val="translated-span"/>
          <w:rFonts w:ascii="宋体" w:hAnsi="宋体" w:cs="宋体" w:hint="eastAsia"/>
          <w:sz w:val="24"/>
          <w:szCs w:val="24"/>
        </w:rPr>
        <w:t>在研究期间，共纳入来自5个ICU的423名患者（中心1，n=71；中心2，n=13；中心3，n=19；中心4，n=137，中心5，n=183），包括258例OHCA（61%）。患者的一般特征如表1所示。中位年龄为57岁，39%的患者有心血管合并症。CA的主要原因如下：305例（72%）患者为心脏（即急性冠脉综合征和/或严重心律失常）疾病，27例（6%）患者为肺栓塞，17例（4%）患者为严重低氧血症，12例（3%）为失血性休克，23例（5%）为其他原因（药物中毒8例，外伤7例，意外低温6例，蛛网膜下腔出血和败血症各1例），不明原因39例（9%）。在263例（62%）患者中观察到一个初始的电击节律。258例OHCA患者中有20</w:t>
      </w:r>
      <w:proofErr w:type="gramStart"/>
      <w:r>
        <w:rPr>
          <w:rStyle w:val="translated-span"/>
          <w:rFonts w:ascii="宋体" w:hAnsi="宋体" w:cs="宋体" w:hint="eastAsia"/>
          <w:sz w:val="24"/>
          <w:szCs w:val="24"/>
        </w:rPr>
        <w:t>例采用</w:t>
      </w:r>
      <w:proofErr w:type="gramEnd"/>
      <w:r>
        <w:rPr>
          <w:rStyle w:val="translated-span"/>
          <w:rFonts w:ascii="宋体" w:hAnsi="宋体" w:cs="宋体" w:hint="eastAsia"/>
          <w:sz w:val="24"/>
          <w:szCs w:val="24"/>
        </w:rPr>
        <w:t>冷液体或经鼻蒸发降温。</w:t>
      </w:r>
    </w:p>
    <w:p w14:paraId="33E517A1" w14:textId="6128EF61" w:rsidR="00FA08FB" w:rsidRDefault="000E3D8A">
      <w:pPr>
        <w:pStyle w:val="3"/>
        <w:spacing w:line="360" w:lineRule="auto"/>
        <w:ind w:left="-4"/>
        <w:rPr>
          <w:rStyle w:val="translated-span"/>
          <w:rFonts w:ascii="宋体" w:hAnsi="宋体"/>
          <w:sz w:val="24"/>
          <w:szCs w:val="24"/>
        </w:rPr>
      </w:pPr>
      <w:r>
        <w:rPr>
          <w:rStyle w:val="translated-span"/>
          <w:rFonts w:ascii="宋体" w:hAnsi="宋体" w:hint="eastAsia"/>
          <w:sz w:val="24"/>
          <w:szCs w:val="24"/>
        </w:rPr>
        <w:t>ECPR特征</w:t>
      </w:r>
    </w:p>
    <w:p w14:paraId="76C85194" w14:textId="77777777" w:rsidR="00FA08FB" w:rsidRDefault="000E3D8A" w:rsidP="00D71269">
      <w:pPr>
        <w:spacing w:line="360" w:lineRule="auto"/>
        <w:ind w:left="20" w:right="32" w:firstLineChars="200" w:firstLine="480"/>
        <w:rPr>
          <w:rFonts w:ascii="宋体" w:hAnsi="宋体" w:cs="宋体"/>
          <w:sz w:val="24"/>
          <w:szCs w:val="24"/>
        </w:rPr>
      </w:pPr>
      <w:r>
        <w:rPr>
          <w:rStyle w:val="translated-span"/>
          <w:rFonts w:ascii="宋体" w:hAnsi="宋体" w:cs="宋体" w:hint="eastAsia"/>
          <w:sz w:val="24"/>
          <w:szCs w:val="24"/>
        </w:rPr>
        <w:t>从事件发生到ECMO启动的平均估计时间为67[45–85]分钟，从ECMO团队到达ECMO植入的平均估计时间为15[10–29]分钟；插管无效8例（2%）。406例（96%）采用</w:t>
      </w:r>
      <w:proofErr w:type="gramStart"/>
      <w:r>
        <w:rPr>
          <w:rStyle w:val="translated-span"/>
          <w:rFonts w:ascii="宋体" w:hAnsi="宋体" w:cs="宋体" w:hint="eastAsia"/>
          <w:sz w:val="24"/>
          <w:szCs w:val="24"/>
        </w:rPr>
        <w:t>外周置管</w:t>
      </w:r>
      <w:proofErr w:type="gramEnd"/>
      <w:r>
        <w:rPr>
          <w:rStyle w:val="translated-span"/>
          <w:rFonts w:ascii="宋体" w:hAnsi="宋体" w:cs="宋体" w:hint="eastAsia"/>
          <w:sz w:val="24"/>
          <w:szCs w:val="24"/>
        </w:rPr>
        <w:t>。研究了ECMO开始时的平均核心温度、ECMO血流量、气体流量和FiO2分别为：34.4 [33.7–35.4] °C、 3.9[3.0–4.6]升/分钟、4[3–5]升/分钟和100[100–100]%。ECMO持续时间和ICU住院时间分别为2[1–4]和3[1–9]天。</w:t>
      </w:r>
    </w:p>
    <w:p w14:paraId="7DEE8FA6" w14:textId="77777777" w:rsidR="00FA08FB" w:rsidRDefault="00FA08FB">
      <w:pPr>
        <w:pStyle w:val="3"/>
        <w:spacing w:line="360" w:lineRule="auto"/>
        <w:ind w:left="-4"/>
        <w:rPr>
          <w:rFonts w:ascii="宋体" w:hAnsi="宋体"/>
          <w:sz w:val="24"/>
          <w:szCs w:val="24"/>
        </w:rPr>
      </w:pPr>
    </w:p>
    <w:tbl>
      <w:tblPr>
        <w:tblpPr w:vertAnchor="text"/>
        <w:tblW w:w="9685" w:type="dxa"/>
        <w:tblLayout w:type="fixed"/>
        <w:tblCellMar>
          <w:left w:w="0" w:type="dxa"/>
          <w:right w:w="0" w:type="dxa"/>
        </w:tblCellMar>
        <w:tblLook w:val="04A0" w:firstRow="1" w:lastRow="0" w:firstColumn="1" w:lastColumn="0" w:noHBand="0" w:noVBand="1"/>
      </w:tblPr>
      <w:tblGrid>
        <w:gridCol w:w="9685"/>
      </w:tblGrid>
      <w:tr w:rsidR="00FA08FB" w14:paraId="0D4BE92C" w14:textId="77777777">
        <w:trPr>
          <w:trHeight w:val="10323"/>
        </w:trPr>
        <w:tc>
          <w:tcPr>
            <w:tcW w:w="9685" w:type="dxa"/>
            <w:tcMar>
              <w:top w:w="0" w:type="dxa"/>
              <w:left w:w="0" w:type="dxa"/>
              <w:bottom w:w="0" w:type="dxa"/>
              <w:right w:w="10" w:type="dxa"/>
            </w:tcMar>
          </w:tcPr>
          <w:p w14:paraId="4409E14B" w14:textId="4B2F65DC" w:rsidR="00FA08FB" w:rsidRPr="00D71269" w:rsidRDefault="000E3D8A">
            <w:pPr>
              <w:spacing w:after="0" w:line="360" w:lineRule="auto"/>
              <w:ind w:left="0" w:firstLine="0"/>
              <w:rPr>
                <w:rFonts w:ascii="宋体" w:hAnsi="宋体" w:cs="宋体"/>
                <w:b/>
                <w:bCs/>
                <w:sz w:val="24"/>
                <w:szCs w:val="24"/>
              </w:rPr>
            </w:pPr>
            <w:r>
              <w:rPr>
                <w:rFonts w:ascii="宋体" w:hAnsi="宋体" w:cs="宋体"/>
                <w:b/>
                <w:bCs/>
                <w:noProof/>
                <w:sz w:val="24"/>
                <w:szCs w:val="24"/>
              </w:rPr>
              <w:drawing>
                <wp:inline distT="0" distB="0" distL="0" distR="0" wp14:anchorId="27132FFF" wp14:editId="262502CF">
                  <wp:extent cx="6143625" cy="592645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143625" cy="5926455"/>
                          </a:xfrm>
                          <a:prstGeom prst="rect">
                            <a:avLst/>
                          </a:prstGeom>
                        </pic:spPr>
                      </pic:pic>
                    </a:graphicData>
                  </a:graphic>
                </wp:inline>
              </w:drawing>
            </w:r>
          </w:p>
          <w:p w14:paraId="386BF7DF" w14:textId="6983FED7" w:rsidR="00FA08FB" w:rsidRPr="00D71269" w:rsidRDefault="000E3D8A" w:rsidP="00D71269">
            <w:pPr>
              <w:spacing w:after="0" w:line="240" w:lineRule="auto"/>
              <w:ind w:left="0" w:firstLine="0"/>
              <w:jc w:val="left"/>
              <w:rPr>
                <w:rFonts w:ascii="宋体" w:hAnsi="宋体" w:cs="宋体"/>
                <w:sz w:val="21"/>
                <w:szCs w:val="21"/>
              </w:rPr>
            </w:pPr>
            <w:r w:rsidRPr="00D71269">
              <w:rPr>
                <w:rStyle w:val="translated-span"/>
                <w:rFonts w:ascii="宋体" w:hAnsi="宋体" w:cs="宋体" w:hint="eastAsia"/>
                <w:sz w:val="21"/>
                <w:szCs w:val="21"/>
              </w:rPr>
              <w:t>数据为计数（百分比）或中位数（</w:t>
            </w:r>
            <w:r w:rsidRPr="00D71269">
              <w:rPr>
                <w:rStyle w:val="translated-span"/>
                <w:rFonts w:ascii="宋体" w:hAnsi="宋体" w:cs="宋体"/>
                <w:sz w:val="21"/>
                <w:szCs w:val="21"/>
              </w:rPr>
              <w:t>IQR）</w:t>
            </w:r>
          </w:p>
          <w:p w14:paraId="2110F4FD" w14:textId="07D45E64" w:rsidR="00FA08FB" w:rsidRPr="00D71269" w:rsidRDefault="000E3D8A" w:rsidP="00D71269">
            <w:pPr>
              <w:spacing w:after="0" w:line="240" w:lineRule="auto"/>
              <w:ind w:left="0" w:firstLine="0"/>
              <w:jc w:val="left"/>
              <w:rPr>
                <w:rFonts w:ascii="宋体" w:hAnsi="宋体" w:cs="宋体"/>
                <w:sz w:val="21"/>
                <w:szCs w:val="21"/>
              </w:rPr>
            </w:pPr>
            <w:r w:rsidRPr="00D71269">
              <w:rPr>
                <w:rStyle w:val="translated-span"/>
                <w:rFonts w:ascii="宋体" w:hAnsi="宋体" w:cs="宋体"/>
                <w:sz w:val="21"/>
                <w:szCs w:val="21"/>
              </w:rPr>
              <w:t>COPD慢性阻塞性肺病</w:t>
            </w:r>
            <w:r w:rsidRPr="00D71269">
              <w:rPr>
                <w:rStyle w:val="translated-span"/>
                <w:rFonts w:ascii="宋体" w:hAnsi="宋体" w:cs="宋体" w:hint="eastAsia"/>
                <w:sz w:val="21"/>
                <w:szCs w:val="21"/>
              </w:rPr>
              <w:t>，</w:t>
            </w:r>
            <w:r w:rsidRPr="00D71269">
              <w:rPr>
                <w:rStyle w:val="translated-span"/>
                <w:rFonts w:ascii="宋体" w:hAnsi="宋体" w:cs="宋体"/>
                <w:sz w:val="21"/>
                <w:szCs w:val="21"/>
              </w:rPr>
              <w:t>ICU重症监护室，CPR心肺复苏，ECMO体外膜肺氧合</w:t>
            </w:r>
          </w:p>
          <w:p w14:paraId="2293529F" w14:textId="7935E576" w:rsidR="00FA08FB" w:rsidRPr="00D71269" w:rsidRDefault="000E3D8A" w:rsidP="00D71269">
            <w:pPr>
              <w:spacing w:after="0" w:line="240" w:lineRule="auto"/>
              <w:ind w:left="0" w:right="735" w:firstLine="0"/>
              <w:jc w:val="left"/>
              <w:rPr>
                <w:rStyle w:val="translated-span"/>
                <w:rFonts w:ascii="宋体" w:hAnsi="宋体" w:cs="宋体"/>
                <w:sz w:val="21"/>
                <w:szCs w:val="21"/>
              </w:rPr>
            </w:pPr>
            <w:r w:rsidRPr="00D71269">
              <w:rPr>
                <w:rStyle w:val="translated-span"/>
                <w:rFonts w:ascii="宋体" w:hAnsi="宋体" w:cs="宋体"/>
                <w:sz w:val="21"/>
                <w:szCs w:val="21"/>
              </w:rPr>
              <w:t xml:space="preserve">*p&lt;0.05 FO </w:t>
            </w:r>
            <w:proofErr w:type="spellStart"/>
            <w:proofErr w:type="gramStart"/>
            <w:r w:rsidRPr="00D71269">
              <w:rPr>
                <w:rStyle w:val="translated-span"/>
                <w:rFonts w:ascii="宋体" w:hAnsi="宋体" w:cs="宋体"/>
                <w:sz w:val="21"/>
                <w:szCs w:val="21"/>
              </w:rPr>
              <w:t>vs.UO</w:t>
            </w:r>
            <w:proofErr w:type="spellEnd"/>
            <w:proofErr w:type="gramEnd"/>
            <w:r w:rsidRPr="00D71269">
              <w:rPr>
                <w:rStyle w:val="translated-span"/>
                <w:rFonts w:ascii="宋体" w:hAnsi="宋体" w:cs="宋体"/>
                <w:sz w:val="21"/>
                <w:szCs w:val="21"/>
              </w:rPr>
              <w:t xml:space="preserve"> </w:t>
            </w:r>
          </w:p>
          <w:p w14:paraId="08D566E5" w14:textId="555DB2DF" w:rsidR="00FA08FB" w:rsidRPr="00D71269" w:rsidRDefault="000E3D8A" w:rsidP="00D71269">
            <w:pPr>
              <w:spacing w:after="0" w:line="240" w:lineRule="auto"/>
              <w:ind w:left="0" w:right="735" w:firstLine="0"/>
              <w:jc w:val="left"/>
              <w:rPr>
                <w:rStyle w:val="translated-span"/>
                <w:rFonts w:ascii="宋体" w:hAnsi="宋体" w:cs="宋体"/>
                <w:sz w:val="21"/>
                <w:szCs w:val="21"/>
              </w:rPr>
            </w:pPr>
            <w:r w:rsidRPr="00D71269">
              <w:rPr>
                <w:rStyle w:val="translated-span"/>
                <w:rFonts w:ascii="宋体" w:hAnsi="宋体" w:cs="宋体"/>
                <w:sz w:val="21"/>
                <w:szCs w:val="21"/>
              </w:rPr>
              <w:t>a</w:t>
            </w:r>
            <w:r w:rsidRPr="00D71269">
              <w:rPr>
                <w:rStyle w:val="translated-span"/>
                <w:rFonts w:ascii="宋体" w:hAnsi="宋体" w:cs="宋体" w:hint="eastAsia"/>
                <w:sz w:val="21"/>
                <w:szCs w:val="21"/>
              </w:rPr>
              <w:t>根据医疗小组的决定，这与置入</w:t>
            </w:r>
            <w:r w:rsidRPr="00D71269">
              <w:rPr>
                <w:rStyle w:val="translated-span"/>
                <w:rFonts w:ascii="宋体" w:hAnsi="宋体" w:cs="宋体"/>
                <w:sz w:val="21"/>
                <w:szCs w:val="21"/>
              </w:rPr>
              <w:t>ECMO并在目标</w:t>
            </w:r>
            <w:r w:rsidRPr="00D71269">
              <w:rPr>
                <w:rStyle w:val="translated-span"/>
                <w:rFonts w:ascii="宋体" w:hAnsi="宋体" w:cs="宋体" w:hint="eastAsia"/>
                <w:sz w:val="21"/>
                <w:szCs w:val="21"/>
              </w:rPr>
              <w:t>流量下的第一次记录的</w:t>
            </w:r>
            <w:r w:rsidRPr="00D71269">
              <w:rPr>
                <w:rStyle w:val="translated-span"/>
                <w:rFonts w:ascii="宋体" w:hAnsi="宋体" w:cs="宋体"/>
                <w:sz w:val="21"/>
                <w:szCs w:val="21"/>
              </w:rPr>
              <w:t>MAP相对应</w:t>
            </w:r>
          </w:p>
          <w:p w14:paraId="7DD91D74" w14:textId="77777777" w:rsidR="00FA08FB" w:rsidRDefault="00FA08FB">
            <w:pPr>
              <w:spacing w:after="0" w:line="360" w:lineRule="auto"/>
              <w:ind w:left="0" w:right="735" w:firstLine="0"/>
              <w:jc w:val="left"/>
              <w:rPr>
                <w:rFonts w:ascii="宋体" w:hAnsi="宋体" w:cs="宋体"/>
                <w:sz w:val="24"/>
                <w:szCs w:val="24"/>
              </w:rPr>
            </w:pPr>
          </w:p>
        </w:tc>
      </w:tr>
    </w:tbl>
    <w:p w14:paraId="343D048B" w14:textId="77777777" w:rsidR="00FA08FB" w:rsidRDefault="000E3D8A">
      <w:pPr>
        <w:pStyle w:val="3"/>
        <w:spacing w:line="360" w:lineRule="auto"/>
        <w:ind w:left="-4"/>
        <w:rPr>
          <w:rFonts w:ascii="宋体" w:hAnsi="宋体"/>
          <w:sz w:val="30"/>
          <w:szCs w:val="30"/>
        </w:rPr>
      </w:pPr>
      <w:r>
        <w:rPr>
          <w:rStyle w:val="translated-span"/>
          <w:rFonts w:ascii="宋体" w:hAnsi="宋体" w:hint="eastAsia"/>
          <w:sz w:val="30"/>
          <w:szCs w:val="30"/>
        </w:rPr>
        <w:t>结果</w:t>
      </w:r>
    </w:p>
    <w:p w14:paraId="23E40DE2" w14:textId="06A3FBE4" w:rsidR="00FA08FB" w:rsidRDefault="000E3D8A" w:rsidP="00D71269">
      <w:pPr>
        <w:spacing w:line="360" w:lineRule="auto"/>
        <w:ind w:left="20" w:right="32" w:firstLineChars="200" w:firstLine="480"/>
        <w:rPr>
          <w:rFonts w:ascii="宋体" w:hAnsi="宋体" w:cs="宋体"/>
          <w:sz w:val="24"/>
          <w:szCs w:val="24"/>
        </w:rPr>
      </w:pPr>
      <w:r>
        <w:rPr>
          <w:rStyle w:val="translated-span"/>
          <w:rFonts w:ascii="宋体" w:hAnsi="宋体" w:cs="宋体" w:hint="eastAsia"/>
          <w:sz w:val="24"/>
          <w:szCs w:val="24"/>
        </w:rPr>
        <w:t>88例（21%）患者神经功能恢复良好；然而在随访期间，8名神经功能初步恢复的患者死于非</w:t>
      </w:r>
      <w:proofErr w:type="gramStart"/>
      <w:r>
        <w:rPr>
          <w:rStyle w:val="translated-span"/>
          <w:rFonts w:ascii="宋体" w:hAnsi="宋体" w:cs="宋体" w:hint="eastAsia"/>
          <w:sz w:val="24"/>
          <w:szCs w:val="24"/>
        </w:rPr>
        <w:t>神经原</w:t>
      </w:r>
      <w:proofErr w:type="gramEnd"/>
      <w:r>
        <w:rPr>
          <w:rStyle w:val="translated-span"/>
          <w:rFonts w:ascii="宋体" w:hAnsi="宋体" w:cs="宋体" w:hint="eastAsia"/>
          <w:sz w:val="24"/>
          <w:szCs w:val="24"/>
        </w:rPr>
        <w:t>因，80名（19%）患者存活，3个月时随诊神经功能恢</w:t>
      </w:r>
      <w:r>
        <w:rPr>
          <w:rStyle w:val="translated-span"/>
          <w:rFonts w:ascii="宋体" w:hAnsi="宋体" w:cs="宋体" w:hint="eastAsia"/>
          <w:sz w:val="24"/>
          <w:szCs w:val="24"/>
        </w:rPr>
        <w:lastRenderedPageBreak/>
        <w:t>复良好。电击复</w:t>
      </w:r>
      <w:proofErr w:type="gramStart"/>
      <w:r>
        <w:rPr>
          <w:rStyle w:val="translated-span"/>
          <w:rFonts w:ascii="宋体" w:hAnsi="宋体" w:cs="宋体" w:hint="eastAsia"/>
          <w:sz w:val="24"/>
          <w:szCs w:val="24"/>
        </w:rPr>
        <w:t>律患者</w:t>
      </w:r>
      <w:proofErr w:type="gramEnd"/>
      <w:r>
        <w:rPr>
          <w:rStyle w:val="translated-span"/>
          <w:rFonts w:ascii="宋体" w:hAnsi="宋体" w:cs="宋体" w:hint="eastAsia"/>
          <w:sz w:val="24"/>
          <w:szCs w:val="24"/>
        </w:rPr>
        <w:t>有较高的神经功能转归率（63/263，24%对17/160，11%）；p&lt;0.001）。</w:t>
      </w:r>
    </w:p>
    <w:p w14:paraId="7EF55237" w14:textId="77777777" w:rsidR="00FA08FB" w:rsidRDefault="000E3D8A" w:rsidP="00D71269">
      <w:pPr>
        <w:spacing w:after="56" w:line="360" w:lineRule="auto"/>
        <w:ind w:right="32" w:firstLineChars="200" w:firstLine="480"/>
        <w:rPr>
          <w:rFonts w:ascii="宋体" w:hAnsi="宋体" w:cs="宋体"/>
          <w:sz w:val="24"/>
          <w:szCs w:val="24"/>
        </w:rPr>
      </w:pPr>
      <w:r>
        <w:rPr>
          <w:rStyle w:val="translated-span"/>
          <w:rFonts w:ascii="宋体" w:hAnsi="宋体" w:cs="宋体" w:hint="eastAsia"/>
          <w:sz w:val="24"/>
          <w:szCs w:val="24"/>
        </w:rPr>
        <w:t>102例（24%）患者ICU存活；只有14例（3%）患者在3个月时存活，但神经系统预后不良。所有ICU幸存者3个月时CPC评分的分布如图1所示。电击心律的患者存活率较高（77/263，29%对25/160，16%；p&lt;0.001）。存活者和非存活者的特征见补充表1和表2。患者死亡原因为难治性休克（n=191，即严重毛细血管内漏伴持续性血管内低血容量，心脏未恢复）、多器官功能衰竭（n=27）、大出血（n=7），感染性休克（n=2）或不可逆性脑损伤（n=94）。</w:t>
      </w:r>
    </w:p>
    <w:p w14:paraId="24601440" w14:textId="7E640103" w:rsidR="00FA08FB" w:rsidRDefault="000E3D8A" w:rsidP="00D71269">
      <w:pPr>
        <w:spacing w:line="360" w:lineRule="auto"/>
        <w:ind w:right="32" w:firstLineChars="200" w:firstLine="480"/>
        <w:rPr>
          <w:rFonts w:ascii="宋体" w:hAnsi="宋体" w:cs="宋体"/>
          <w:sz w:val="24"/>
          <w:szCs w:val="24"/>
        </w:rPr>
      </w:pPr>
      <w:r>
        <w:rPr>
          <w:rStyle w:val="translated-span"/>
          <w:rFonts w:ascii="宋体" w:hAnsi="宋体" w:cs="宋体" w:hint="eastAsia"/>
          <w:sz w:val="24"/>
          <w:szCs w:val="24"/>
        </w:rPr>
        <w:t>在死亡患者中（n=321），56（17%）是器官捐献的潜在候选人（42例为不可逆性脑损伤，14例为脑死亡）。因此，在136例（32%）患者中观察到良好的累积结果。在大多数情况下，考虑移植的器官是肾（n=50）或肝（n=44），只有少数为肺（n=6）。在这56名患者中，只有23名（41%）最终实施了器官捐献，而未能捐献的主要原因是无马斯特里赫特III器官捐献程序（n=15）、家庭拒绝（n=12）、医疗决定（n=5）和移植前死亡（n=2）。幸存者和非幸存者的ICU住院时间分布如补充图2所示。</w:t>
      </w:r>
    </w:p>
    <w:p w14:paraId="14F58FED" w14:textId="77777777" w:rsidR="00FA08FB" w:rsidRDefault="000E3D8A" w:rsidP="00D71269">
      <w:pPr>
        <w:spacing w:after="308" w:line="360" w:lineRule="auto"/>
        <w:ind w:right="32" w:firstLineChars="200" w:firstLine="480"/>
        <w:rPr>
          <w:rFonts w:ascii="宋体" w:hAnsi="宋体" w:cs="宋体"/>
          <w:sz w:val="24"/>
          <w:szCs w:val="24"/>
        </w:rPr>
      </w:pPr>
      <w:r>
        <w:rPr>
          <w:rStyle w:val="translated-span"/>
          <w:rFonts w:ascii="宋体" w:hAnsi="宋体" w:cs="宋体" w:hint="eastAsia"/>
          <w:sz w:val="24"/>
          <w:szCs w:val="24"/>
        </w:rPr>
        <w:t>在</w:t>
      </w:r>
      <w:proofErr w:type="gramStart"/>
      <w:r>
        <w:rPr>
          <w:rStyle w:val="translated-span"/>
          <w:rFonts w:ascii="宋体" w:hAnsi="宋体" w:cs="宋体" w:hint="eastAsia"/>
          <w:sz w:val="24"/>
          <w:szCs w:val="24"/>
        </w:rPr>
        <w:t>多水平</w:t>
      </w:r>
      <w:proofErr w:type="gramEnd"/>
      <w:r>
        <w:rPr>
          <w:rStyle w:val="translated-span"/>
          <w:rFonts w:ascii="宋体" w:hAnsi="宋体" w:cs="宋体" w:hint="eastAsia"/>
          <w:sz w:val="24"/>
          <w:szCs w:val="24"/>
        </w:rPr>
        <w:t>分析中，旁观者CPR、初始电击复律、ECMO时间短和乳酸峰值低与两种模型的良好神经预后独立相关（补充表3）。</w:t>
      </w:r>
    </w:p>
    <w:p w14:paraId="2B9F452D" w14:textId="77777777" w:rsidR="00FA08FB" w:rsidRDefault="000E3D8A">
      <w:pPr>
        <w:pStyle w:val="3"/>
        <w:spacing w:line="360" w:lineRule="auto"/>
        <w:ind w:left="-4"/>
        <w:rPr>
          <w:rFonts w:ascii="宋体" w:hAnsi="宋体"/>
          <w:sz w:val="24"/>
          <w:szCs w:val="24"/>
        </w:rPr>
      </w:pPr>
      <w:r>
        <w:rPr>
          <w:rStyle w:val="translated-span"/>
          <w:rFonts w:ascii="宋体" w:hAnsi="宋体" w:hint="eastAsia"/>
          <w:sz w:val="24"/>
          <w:szCs w:val="24"/>
        </w:rPr>
        <w:t>器官功能障碍</w:t>
      </w:r>
    </w:p>
    <w:p w14:paraId="268D587B" w14:textId="5E583450" w:rsidR="00FA08FB" w:rsidRDefault="000E3D8A" w:rsidP="00D71269">
      <w:pPr>
        <w:spacing w:after="309" w:line="360" w:lineRule="auto"/>
        <w:ind w:left="20" w:right="32" w:firstLineChars="300" w:firstLine="720"/>
        <w:rPr>
          <w:rFonts w:ascii="宋体" w:hAnsi="宋体" w:cs="宋体"/>
          <w:sz w:val="24"/>
          <w:szCs w:val="24"/>
        </w:rPr>
      </w:pPr>
      <w:r>
        <w:rPr>
          <w:rStyle w:val="translated-span"/>
          <w:rFonts w:ascii="宋体" w:hAnsi="宋体" w:cs="宋体" w:hint="eastAsia"/>
          <w:sz w:val="24"/>
          <w:szCs w:val="24"/>
        </w:rPr>
        <w:t>初始平均动脉压和乳酸水平分别为66[IQR 56–77]mmHg和12.2[7.8–17.0]</w:t>
      </w:r>
      <w:proofErr w:type="spellStart"/>
      <w:r>
        <w:rPr>
          <w:rStyle w:val="translated-span"/>
          <w:rFonts w:ascii="宋体" w:hAnsi="宋体" w:cs="宋体" w:hint="eastAsia"/>
          <w:sz w:val="24"/>
          <w:szCs w:val="24"/>
        </w:rPr>
        <w:t>mEq</w:t>
      </w:r>
      <w:proofErr w:type="spellEnd"/>
      <w:r>
        <w:rPr>
          <w:rStyle w:val="translated-span"/>
          <w:rFonts w:ascii="宋体" w:hAnsi="宋体" w:cs="宋体" w:hint="eastAsia"/>
          <w:sz w:val="24"/>
          <w:szCs w:val="24"/>
        </w:rPr>
        <w:t>/L。225例（53%）患者</w:t>
      </w:r>
      <w:proofErr w:type="gramStart"/>
      <w:r>
        <w:rPr>
          <w:rStyle w:val="translated-span"/>
          <w:rFonts w:ascii="宋体" w:hAnsi="宋体" w:cs="宋体" w:hint="eastAsia"/>
          <w:sz w:val="24"/>
          <w:szCs w:val="24"/>
        </w:rPr>
        <w:t>疑</w:t>
      </w:r>
      <w:proofErr w:type="gramEnd"/>
      <w:r>
        <w:rPr>
          <w:rStyle w:val="translated-span"/>
          <w:rFonts w:ascii="宋体" w:hAnsi="宋体" w:cs="宋体" w:hint="eastAsia"/>
          <w:sz w:val="24"/>
          <w:szCs w:val="24"/>
        </w:rPr>
        <w:t>诊急性心肌梗死，其中187例患者随后接受冠状动脉造影，122</w:t>
      </w:r>
      <w:proofErr w:type="gramStart"/>
      <w:r>
        <w:rPr>
          <w:rStyle w:val="translated-span"/>
          <w:rFonts w:ascii="宋体" w:hAnsi="宋体" w:cs="宋体" w:hint="eastAsia"/>
          <w:sz w:val="24"/>
          <w:szCs w:val="24"/>
        </w:rPr>
        <w:t>例最终</w:t>
      </w:r>
      <w:proofErr w:type="gramEnd"/>
      <w:r>
        <w:rPr>
          <w:rStyle w:val="translated-span"/>
          <w:rFonts w:ascii="宋体" w:hAnsi="宋体" w:cs="宋体" w:hint="eastAsia"/>
          <w:sz w:val="24"/>
          <w:szCs w:val="24"/>
        </w:rPr>
        <w:t>接受PCI或心脏手术（表2）。超过60%的患者表现为严重的心血管功能障碍，双侧肺浸润和AKI。AKI主要为</w:t>
      </w:r>
      <w:r>
        <w:rPr>
          <w:rStyle w:val="translated-span"/>
          <w:rFonts w:ascii="宋体" w:hAnsi="宋体" w:cs="宋体"/>
          <w:sz w:val="24"/>
          <w:szCs w:val="24"/>
        </w:rPr>
        <w:t xml:space="preserve">KDIGO </w:t>
      </w:r>
      <w:r>
        <w:rPr>
          <w:rStyle w:val="translated-span"/>
          <w:rFonts w:ascii="宋体" w:hAnsi="宋体" w:cs="宋体" w:hint="eastAsia"/>
          <w:sz w:val="24"/>
          <w:szCs w:val="24"/>
        </w:rPr>
        <w:t>3期；KDIGO分期在所有人群以及不同亚组中的分布如补充图3所示。115例（27%）患者被诊断为缺氧性肝炎。共有324例（77%）患者需要正性肌力药物支持，118例（28%）需要RRT。103例（36%）患者发生出血事件，其中80例（51%）发生插管部位出血。ICU期间接受的RBCT总数为5例[2–11]，215例（51%）患者在ECMO治疗的第一天接受了全身抗凝治疗。</w:t>
      </w:r>
    </w:p>
    <w:p w14:paraId="5D755062" w14:textId="77777777" w:rsidR="00FA08FB" w:rsidRDefault="000E3D8A">
      <w:pPr>
        <w:spacing w:after="390" w:line="360" w:lineRule="auto"/>
        <w:ind w:left="8" w:right="-7" w:firstLine="0"/>
        <w:jc w:val="left"/>
        <w:rPr>
          <w:rFonts w:ascii="宋体" w:hAnsi="宋体" w:cs="宋体"/>
          <w:sz w:val="24"/>
          <w:szCs w:val="24"/>
        </w:rPr>
      </w:pPr>
      <w:r>
        <w:rPr>
          <w:rFonts w:ascii="宋体" w:hAnsi="宋体" w:cs="宋体"/>
          <w:noProof/>
          <w:sz w:val="24"/>
          <w:szCs w:val="24"/>
        </w:rPr>
        <w:lastRenderedPageBreak/>
        <w:drawing>
          <wp:inline distT="0" distB="0" distL="0" distR="0" wp14:anchorId="7033A4A6" wp14:editId="08406E4B">
            <wp:extent cx="5226050" cy="43561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26050" cy="4356100"/>
                    </a:xfrm>
                    <a:prstGeom prst="rect">
                      <a:avLst/>
                    </a:prstGeom>
                    <a:noFill/>
                    <a:ln>
                      <a:noFill/>
                    </a:ln>
                  </pic:spPr>
                </pic:pic>
              </a:graphicData>
            </a:graphic>
          </wp:inline>
        </w:drawing>
      </w:r>
    </w:p>
    <w:p w14:paraId="3A4F56D0" w14:textId="77777777" w:rsidR="00FA08FB" w:rsidRDefault="000E3D8A">
      <w:pPr>
        <w:pStyle w:val="3"/>
        <w:spacing w:line="360" w:lineRule="auto"/>
        <w:ind w:left="-4"/>
        <w:rPr>
          <w:rFonts w:ascii="宋体" w:hAnsi="宋体"/>
          <w:sz w:val="24"/>
          <w:szCs w:val="24"/>
        </w:rPr>
      </w:pPr>
      <w:r>
        <w:rPr>
          <w:rStyle w:val="translated-span"/>
          <w:rFonts w:ascii="宋体" w:hAnsi="宋体" w:hint="eastAsia"/>
          <w:sz w:val="24"/>
          <w:szCs w:val="24"/>
        </w:rPr>
        <w:t>严格的ECPR标准</w:t>
      </w:r>
    </w:p>
    <w:p w14:paraId="10C24F8B" w14:textId="37CA3E5C" w:rsidR="00FA08FB" w:rsidRDefault="000E3D8A" w:rsidP="00D71269">
      <w:pPr>
        <w:spacing w:after="309" w:line="360" w:lineRule="auto"/>
        <w:ind w:left="20" w:right="32" w:firstLineChars="200" w:firstLine="480"/>
        <w:rPr>
          <w:rFonts w:ascii="宋体" w:hAnsi="宋体" w:cs="宋体"/>
          <w:sz w:val="24"/>
          <w:szCs w:val="24"/>
        </w:rPr>
      </w:pPr>
      <w:r>
        <w:rPr>
          <w:rStyle w:val="translated-span"/>
          <w:rFonts w:ascii="宋体" w:hAnsi="宋体" w:cs="宋体" w:hint="eastAsia"/>
          <w:sz w:val="24"/>
          <w:szCs w:val="24"/>
        </w:rPr>
        <w:t>亚组分析显示，与整个队列相比，符合所有严格ECPR标准的患者（n=105，25%）的亚组具有良好神经功能结果（38%）或存活（44%）的患者人数更多（图2）。有目击旁观者心肺复苏和无合并症的患者，存活率和FO增加了10%以上。患者从事件发生到ECMO植入的时间&gt;或≤60min。</w:t>
      </w:r>
    </w:p>
    <w:p w14:paraId="7F868607" w14:textId="4FD62379" w:rsidR="00FA08FB" w:rsidRDefault="00FA08FB" w:rsidP="00D71269">
      <w:pPr>
        <w:spacing w:after="316" w:line="360" w:lineRule="auto"/>
        <w:ind w:left="20" w:right="32" w:firstLineChars="200" w:firstLine="482"/>
        <w:rPr>
          <w:rStyle w:val="translated-span"/>
          <w:rFonts w:ascii="宋体" w:hAnsi="宋体" w:cs="宋体"/>
          <w:b/>
          <w:bCs/>
          <w:sz w:val="24"/>
          <w:szCs w:val="24"/>
        </w:rPr>
      </w:pPr>
    </w:p>
    <w:p w14:paraId="527215F2" w14:textId="3523AB5E" w:rsidR="00FA08FB" w:rsidRPr="00D71269" w:rsidRDefault="000E3D8A">
      <w:pPr>
        <w:spacing w:after="0" w:line="360" w:lineRule="auto"/>
        <w:ind w:left="0" w:firstLine="0"/>
        <w:jc w:val="left"/>
        <w:rPr>
          <w:rFonts w:ascii="宋体" w:hAnsi="宋体" w:cs="宋体"/>
          <w:b/>
          <w:bCs/>
          <w:sz w:val="24"/>
          <w:szCs w:val="24"/>
        </w:rPr>
      </w:pPr>
      <w:r>
        <w:rPr>
          <w:rStyle w:val="translated-span"/>
          <w:rFonts w:ascii="宋体" w:hAnsi="宋体" w:cs="宋体"/>
          <w:b/>
          <w:bCs/>
          <w:noProof/>
          <w:sz w:val="24"/>
          <w:szCs w:val="24"/>
        </w:rPr>
        <w:lastRenderedPageBreak/>
        <w:drawing>
          <wp:inline distT="0" distB="0" distL="0" distR="0" wp14:anchorId="2AD3DBA2" wp14:editId="1C9DAC06">
            <wp:extent cx="5274310" cy="27660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766060"/>
                    </a:xfrm>
                    <a:prstGeom prst="rect">
                      <a:avLst/>
                    </a:prstGeom>
                    <a:noFill/>
                    <a:ln>
                      <a:noFill/>
                    </a:ln>
                  </pic:spPr>
                </pic:pic>
              </a:graphicData>
            </a:graphic>
          </wp:inline>
        </w:drawing>
      </w:r>
    </w:p>
    <w:p w14:paraId="70DAEED1" w14:textId="1BE2405A" w:rsidR="00FA08FB" w:rsidRDefault="000E3D8A" w:rsidP="00D71269">
      <w:pPr>
        <w:spacing w:after="0" w:line="240" w:lineRule="auto"/>
        <w:ind w:left="0" w:right="122" w:firstLine="0"/>
        <w:jc w:val="left"/>
        <w:rPr>
          <w:rFonts w:ascii="宋体" w:hAnsi="宋体" w:cs="宋体"/>
          <w:sz w:val="24"/>
          <w:szCs w:val="24"/>
        </w:rPr>
      </w:pPr>
      <w:r>
        <w:rPr>
          <w:rStyle w:val="translated-span"/>
          <w:rFonts w:ascii="宋体" w:hAnsi="宋体" w:cs="宋体" w:hint="eastAsia"/>
          <w:sz w:val="24"/>
          <w:szCs w:val="24"/>
        </w:rPr>
        <w:t>数据为计数（百分比）或中位数（IQR）</w:t>
      </w:r>
    </w:p>
    <w:p w14:paraId="1A08BB8B" w14:textId="094403FD" w:rsidR="00FA08FB" w:rsidRDefault="000E3D8A" w:rsidP="00D71269">
      <w:pPr>
        <w:spacing w:after="0" w:line="240" w:lineRule="auto"/>
        <w:ind w:left="0" w:right="735" w:firstLine="0"/>
        <w:jc w:val="left"/>
        <w:rPr>
          <w:rStyle w:val="translated-span"/>
          <w:rFonts w:ascii="宋体" w:hAnsi="宋体" w:cs="宋体"/>
          <w:sz w:val="24"/>
          <w:szCs w:val="24"/>
        </w:rPr>
      </w:pPr>
      <w:r w:rsidRPr="00D71269">
        <w:rPr>
          <w:rStyle w:val="translated-span"/>
          <w:rFonts w:ascii="宋体" w:hAnsi="宋体" w:cs="宋体"/>
          <w:sz w:val="24"/>
          <w:szCs w:val="24"/>
        </w:rPr>
        <w:t>PTCA</w:t>
      </w:r>
      <w:r>
        <w:rPr>
          <w:rStyle w:val="translated-span"/>
          <w:rFonts w:ascii="宋体" w:hAnsi="宋体" w:cs="宋体" w:hint="eastAsia"/>
          <w:sz w:val="24"/>
          <w:szCs w:val="24"/>
        </w:rPr>
        <w:t>经皮冠状动脉体外循环、RBCT红细胞输注、ICU重症监护室 、ECMO体外膜肺氧合、DIC弥散性血管内凝血、RRT肾替代治疗（P＜0.05 FO</w:t>
      </w:r>
      <w:r>
        <w:rPr>
          <w:rStyle w:val="translated-span"/>
          <w:rFonts w:ascii="宋体" w:hAnsi="宋体" w:cs="宋体"/>
          <w:sz w:val="21"/>
          <w:szCs w:val="21"/>
        </w:rPr>
        <w:t xml:space="preserve"> </w:t>
      </w:r>
      <w:proofErr w:type="spellStart"/>
      <w:r>
        <w:rPr>
          <w:rStyle w:val="translated-span"/>
          <w:rFonts w:ascii="宋体" w:hAnsi="宋体" w:cs="宋体" w:hint="eastAsia"/>
          <w:sz w:val="21"/>
          <w:szCs w:val="21"/>
        </w:rPr>
        <w:t>vs.</w:t>
      </w:r>
      <w:r>
        <w:rPr>
          <w:rStyle w:val="translated-span"/>
          <w:rFonts w:ascii="宋体" w:hAnsi="宋体" w:cs="宋体"/>
          <w:sz w:val="21"/>
          <w:szCs w:val="21"/>
        </w:rPr>
        <w:t>UO</w:t>
      </w:r>
      <w:proofErr w:type="spellEnd"/>
      <w:r>
        <w:rPr>
          <w:rStyle w:val="translated-span"/>
          <w:rFonts w:ascii="宋体" w:hAnsi="宋体" w:cs="宋体" w:hint="eastAsia"/>
          <w:sz w:val="21"/>
          <w:szCs w:val="21"/>
        </w:rPr>
        <w:t xml:space="preserve"> </w:t>
      </w:r>
      <w:r>
        <w:rPr>
          <w:rStyle w:val="translated-span"/>
          <w:rFonts w:ascii="宋体" w:hAnsi="宋体" w:cs="宋体" w:hint="eastAsia"/>
          <w:sz w:val="24"/>
          <w:szCs w:val="24"/>
        </w:rPr>
        <w:t>）。</w:t>
      </w:r>
    </w:p>
    <w:p w14:paraId="5C0F8176" w14:textId="77777777" w:rsidR="00FA08FB" w:rsidRPr="00D71269" w:rsidRDefault="00FA08FB" w:rsidP="00D71269">
      <w:pPr>
        <w:spacing w:after="0" w:line="360" w:lineRule="auto"/>
        <w:ind w:left="0" w:right="735" w:firstLine="0"/>
        <w:jc w:val="left"/>
        <w:rPr>
          <w:rFonts w:ascii="宋体" w:hAnsi="宋体" w:cs="宋体"/>
          <w:sz w:val="21"/>
          <w:szCs w:val="21"/>
        </w:rPr>
      </w:pPr>
    </w:p>
    <w:p w14:paraId="59E66E06" w14:textId="77777777" w:rsidR="00FA08FB" w:rsidRDefault="000E3D8A">
      <w:pPr>
        <w:pStyle w:val="3"/>
        <w:spacing w:line="360" w:lineRule="auto"/>
        <w:ind w:left="-4"/>
        <w:rPr>
          <w:rFonts w:ascii="宋体" w:hAnsi="宋体"/>
          <w:sz w:val="24"/>
          <w:szCs w:val="24"/>
        </w:rPr>
      </w:pPr>
      <w:r>
        <w:rPr>
          <w:rStyle w:val="translated-span"/>
          <w:rFonts w:ascii="宋体" w:hAnsi="宋体" w:hint="eastAsia"/>
          <w:sz w:val="24"/>
          <w:szCs w:val="24"/>
        </w:rPr>
        <w:t>IHCA与OHCA</w:t>
      </w:r>
    </w:p>
    <w:p w14:paraId="7817B411" w14:textId="51543CA4" w:rsidR="00FA08FB" w:rsidRDefault="000E3D8A" w:rsidP="00D71269">
      <w:pPr>
        <w:spacing w:after="232" w:line="360" w:lineRule="auto"/>
        <w:ind w:left="20" w:right="32" w:firstLineChars="200" w:firstLine="480"/>
        <w:rPr>
          <w:rFonts w:ascii="宋体" w:hAnsi="宋体" w:cs="宋体"/>
          <w:sz w:val="24"/>
          <w:szCs w:val="24"/>
        </w:rPr>
      </w:pPr>
      <w:r>
        <w:rPr>
          <w:rStyle w:val="translated-span"/>
          <w:rFonts w:ascii="宋体" w:hAnsi="宋体" w:cs="宋体" w:hint="eastAsia"/>
          <w:sz w:val="24"/>
          <w:szCs w:val="24"/>
        </w:rPr>
        <w:t>IHCA和OHCA患者之间的差异见补充表4和表5。与OHCA患者相比，IHCA患者年龄较大，男性发病率较低，既往心脏病史、慢性肾脏病和免疫抑制治疗明显增多。此外，与OHCA相比，IHCA与旁观者CPR、较低的肾上腺素剂量、较少的除颤次数、较短的从衰竭到ECMO的时间、较低的乳酸水平以及ECMO开始时的MAP相关性更高（表1）。IHCA患者较OHCA患者更常出现双侧肺浸润、AKI和RRT。然而，ICU存活率和神经系统预后良好的患者数高于OHCA（表2）。Kaplan–Meier分析显示，与其</w:t>
      </w:r>
      <w:proofErr w:type="gramStart"/>
      <w:r>
        <w:rPr>
          <w:rStyle w:val="translated-span"/>
          <w:rFonts w:ascii="宋体" w:hAnsi="宋体" w:cs="宋体" w:hint="eastAsia"/>
          <w:sz w:val="24"/>
          <w:szCs w:val="24"/>
        </w:rPr>
        <w:t>他患者</w:t>
      </w:r>
      <w:proofErr w:type="gramEnd"/>
      <w:r>
        <w:rPr>
          <w:rStyle w:val="translated-span"/>
          <w:rFonts w:ascii="宋体" w:hAnsi="宋体" w:cs="宋体" w:hint="eastAsia"/>
          <w:sz w:val="24"/>
          <w:szCs w:val="24"/>
        </w:rPr>
        <w:t>相比，IHCA患者的生存率和FO显著增加（补充图1）。此外，ECMO时间与ICU存活率或良好的神经功能转归率之间的关系如图3所示。如果ECMO在60分钟内建立，则观察到存活率和神经功能转归率&gt;25%，而极少数患者存活时间延长至ECMO，特别是OHCA或非休克心律（图3）。OHCA和IHCA患者的ICU住院时间分布如补充图2所示。</w:t>
      </w:r>
    </w:p>
    <w:p w14:paraId="4063F2DA" w14:textId="27A7481B" w:rsidR="00FA08FB" w:rsidRDefault="00FA08FB">
      <w:pPr>
        <w:spacing w:after="232" w:line="360" w:lineRule="auto"/>
        <w:ind w:left="20" w:right="32"/>
        <w:rPr>
          <w:rFonts w:ascii="宋体" w:hAnsi="宋体" w:cs="宋体"/>
          <w:sz w:val="24"/>
          <w:szCs w:val="24"/>
        </w:rPr>
      </w:pPr>
    </w:p>
    <w:p w14:paraId="26E96FE4" w14:textId="77777777" w:rsidR="00FA08FB" w:rsidRDefault="000E3D8A">
      <w:pPr>
        <w:pStyle w:val="2"/>
        <w:spacing w:line="360" w:lineRule="auto"/>
        <w:ind w:left="10" w:firstLine="0"/>
        <w:jc w:val="center"/>
        <w:rPr>
          <w:rStyle w:val="translated-span"/>
          <w:rFonts w:ascii="宋体" w:hAnsi="宋体"/>
          <w:sz w:val="24"/>
          <w:szCs w:val="24"/>
        </w:rPr>
      </w:pPr>
      <w:r>
        <w:rPr>
          <w:rStyle w:val="translated-span"/>
          <w:rFonts w:ascii="宋体" w:hAnsi="宋体"/>
          <w:noProof/>
          <w:sz w:val="24"/>
          <w:szCs w:val="24"/>
        </w:rPr>
        <w:lastRenderedPageBreak/>
        <w:drawing>
          <wp:inline distT="0" distB="0" distL="0" distR="0" wp14:anchorId="0FCB9820" wp14:editId="1097BC20">
            <wp:extent cx="5200650" cy="6191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00650" cy="6191250"/>
                    </a:xfrm>
                    <a:prstGeom prst="rect">
                      <a:avLst/>
                    </a:prstGeom>
                    <a:noFill/>
                    <a:ln>
                      <a:noFill/>
                    </a:ln>
                  </pic:spPr>
                </pic:pic>
              </a:graphicData>
            </a:graphic>
          </wp:inline>
        </w:drawing>
      </w:r>
    </w:p>
    <w:p w14:paraId="647635F3" w14:textId="77777777" w:rsidR="00FA08FB" w:rsidRDefault="00FA08FB">
      <w:pPr>
        <w:pStyle w:val="2"/>
        <w:spacing w:line="360" w:lineRule="auto"/>
        <w:ind w:left="10" w:firstLine="0"/>
        <w:jc w:val="center"/>
        <w:rPr>
          <w:rStyle w:val="translated-span"/>
          <w:rFonts w:ascii="宋体" w:hAnsi="宋体"/>
          <w:sz w:val="24"/>
          <w:szCs w:val="24"/>
        </w:rPr>
      </w:pPr>
    </w:p>
    <w:p w14:paraId="260086FE" w14:textId="77777777" w:rsidR="00FA08FB" w:rsidRDefault="000E3D8A">
      <w:pPr>
        <w:pStyle w:val="2"/>
        <w:spacing w:line="360" w:lineRule="auto"/>
        <w:ind w:left="10" w:firstLine="0"/>
        <w:jc w:val="center"/>
        <w:rPr>
          <w:rStyle w:val="translated-span"/>
          <w:rFonts w:ascii="宋体" w:hAnsi="宋体"/>
          <w:sz w:val="24"/>
          <w:szCs w:val="24"/>
        </w:rPr>
      </w:pPr>
      <w:r>
        <w:rPr>
          <w:rStyle w:val="translated-span"/>
          <w:rFonts w:ascii="宋体" w:hAnsi="宋体"/>
          <w:noProof/>
          <w:sz w:val="24"/>
          <w:szCs w:val="24"/>
        </w:rPr>
        <w:lastRenderedPageBreak/>
        <w:drawing>
          <wp:inline distT="0" distB="0" distL="0" distR="0" wp14:anchorId="2818C974" wp14:editId="59F538F6">
            <wp:extent cx="5274310" cy="226504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265045"/>
                    </a:xfrm>
                    <a:prstGeom prst="rect">
                      <a:avLst/>
                    </a:prstGeom>
                    <a:noFill/>
                    <a:ln>
                      <a:noFill/>
                    </a:ln>
                  </pic:spPr>
                </pic:pic>
              </a:graphicData>
            </a:graphic>
          </wp:inline>
        </w:drawing>
      </w:r>
    </w:p>
    <w:p w14:paraId="7D477E55" w14:textId="679391A7" w:rsidR="00FA08FB" w:rsidRDefault="00FA08FB" w:rsidP="00D71269">
      <w:pPr>
        <w:pStyle w:val="2"/>
        <w:spacing w:line="360" w:lineRule="auto"/>
        <w:ind w:left="0" w:firstLine="0"/>
        <w:rPr>
          <w:rStyle w:val="translated-span"/>
          <w:rFonts w:ascii="宋体" w:hAnsi="宋体"/>
          <w:sz w:val="30"/>
          <w:szCs w:val="30"/>
        </w:rPr>
      </w:pPr>
    </w:p>
    <w:p w14:paraId="7270A7B9" w14:textId="77777777" w:rsidR="00FA08FB" w:rsidRDefault="000E3D8A">
      <w:pPr>
        <w:pStyle w:val="2"/>
        <w:spacing w:line="360" w:lineRule="auto"/>
        <w:ind w:left="10" w:firstLine="0"/>
        <w:rPr>
          <w:rFonts w:ascii="宋体" w:hAnsi="宋体"/>
          <w:sz w:val="30"/>
          <w:szCs w:val="30"/>
        </w:rPr>
      </w:pPr>
      <w:r>
        <w:rPr>
          <w:rStyle w:val="translated-span"/>
          <w:rFonts w:ascii="宋体" w:hAnsi="宋体" w:hint="eastAsia"/>
          <w:sz w:val="30"/>
          <w:szCs w:val="30"/>
        </w:rPr>
        <w:t>讨论</w:t>
      </w:r>
    </w:p>
    <w:p w14:paraId="66DF5905" w14:textId="469EE7F5" w:rsidR="00FA08FB" w:rsidRDefault="000E3D8A" w:rsidP="00D71269">
      <w:pPr>
        <w:spacing w:line="360" w:lineRule="auto"/>
        <w:ind w:left="20" w:right="32" w:firstLineChars="200" w:firstLine="480"/>
        <w:rPr>
          <w:rFonts w:ascii="宋体" w:hAnsi="宋体" w:cs="宋体"/>
          <w:sz w:val="24"/>
          <w:szCs w:val="24"/>
        </w:rPr>
      </w:pPr>
      <w:r>
        <w:rPr>
          <w:rStyle w:val="translated-span"/>
          <w:rFonts w:ascii="宋体" w:hAnsi="宋体" w:cs="宋体" w:hint="eastAsia"/>
          <w:sz w:val="24"/>
          <w:szCs w:val="24"/>
        </w:rPr>
        <w:t>这是一项欧洲多中心大型队列研究，包括来自五所大学医院的423名接受ECPR的患者，上述医院均有专用ECPR流程。由于纳入患者样本量较大，结果可更好地描述ECPR使用的流行病学、结果预后和并发症。我们的研究结果显示， ECPR应用于复苏时间延长的CA患者的异质性队列与相对较低的神经功能预后和生存率相关。另外，10%的非幸存者是器官捐献的候选人。脑外多脏器功能不全是常见的，这些患者除了需要体外治疗外，还需要多种治疗干预和器官支持措施。最后，与整个研究队列相比，如果应用严格的ECPR筛选标准则具有更高的神经功能存活率。</w:t>
      </w:r>
    </w:p>
    <w:p w14:paraId="43DA51EE" w14:textId="7A2E9EB0" w:rsidR="00FA08FB" w:rsidRDefault="000E3D8A" w:rsidP="00D71269">
      <w:pPr>
        <w:spacing w:line="360" w:lineRule="auto"/>
        <w:ind w:left="0" w:right="32" w:firstLineChars="200" w:firstLine="480"/>
        <w:rPr>
          <w:rFonts w:ascii="宋体" w:hAnsi="宋体" w:cs="宋体"/>
          <w:sz w:val="24"/>
          <w:szCs w:val="24"/>
        </w:rPr>
      </w:pPr>
      <w:r>
        <w:rPr>
          <w:rStyle w:val="translated-span"/>
          <w:rFonts w:ascii="宋体" w:hAnsi="宋体" w:cs="宋体" w:hint="eastAsia"/>
          <w:sz w:val="24"/>
          <w:szCs w:val="24"/>
        </w:rPr>
        <w:t>一些亚洲队列报道使用ECPR比传统CPR有更高的存活率。然而，日本注册机构报告，接受传统CPR治疗的CA患者存活率非常低（1–3%），这将限制ECPR推广到欧洲和北美国家，这些国家的CCPR存活率约为5–7%。在美国最近进行的一项研究中，</w:t>
      </w:r>
      <w:proofErr w:type="spellStart"/>
      <w:r>
        <w:rPr>
          <w:rStyle w:val="translated-span"/>
          <w:rFonts w:ascii="宋体" w:hAnsi="宋体" w:cs="宋体" w:hint="eastAsia"/>
          <w:sz w:val="24"/>
          <w:szCs w:val="24"/>
        </w:rPr>
        <w:t>Yannopoulos</w:t>
      </w:r>
      <w:proofErr w:type="spellEnd"/>
      <w:r>
        <w:rPr>
          <w:rStyle w:val="translated-span"/>
          <w:rFonts w:ascii="宋体" w:hAnsi="宋体" w:cs="宋体" w:hint="eastAsia"/>
          <w:sz w:val="24"/>
          <w:szCs w:val="24"/>
        </w:rPr>
        <w:t>等人报告称，50%的OHCA患者在ECPR实施后取得了良好的神经功能转归，并且可电击复律；然而，其人群是高度选择的，ECPR时评估其呼气末CO2值较高（即35–40 mmHg），这表明一些接受治疗的患者可能有低心排血量状态或复发性ROSC，而不是长时间停搏。只有一项法国多中心研究报告了526例接受ECPR治疗的OHCA患者的数据，显示其生存率与我们的OHCA队列相似（即8%）。本研究还报告了接受CCPR的对照组的数据，并得出院前进行ECMO作为ECPR组院内生存率的独立预测因子。然而，没有关于脑外器官功</w:t>
      </w:r>
      <w:r>
        <w:rPr>
          <w:rStyle w:val="translated-span"/>
          <w:rFonts w:ascii="宋体" w:hAnsi="宋体" w:cs="宋体" w:hint="eastAsia"/>
          <w:sz w:val="24"/>
          <w:szCs w:val="24"/>
        </w:rPr>
        <w:lastRenderedPageBreak/>
        <w:t>能障碍和潜在纳入标准的数据，这些数据与了解这些患者的复杂性和组织ECPR计划有关。</w:t>
      </w:r>
    </w:p>
    <w:p w14:paraId="2985E4DD" w14:textId="4A6C8564" w:rsidR="00FA08FB" w:rsidRDefault="000E3D8A" w:rsidP="00D71269">
      <w:pPr>
        <w:spacing w:line="360" w:lineRule="auto"/>
        <w:ind w:right="32" w:firstLineChars="200" w:firstLine="480"/>
        <w:rPr>
          <w:rFonts w:ascii="宋体" w:hAnsi="宋体" w:cs="宋体"/>
          <w:sz w:val="24"/>
          <w:szCs w:val="24"/>
        </w:rPr>
      </w:pPr>
      <w:r>
        <w:rPr>
          <w:rStyle w:val="translated-span"/>
          <w:rFonts w:ascii="宋体" w:hAnsi="宋体" w:cs="宋体" w:hint="eastAsia"/>
          <w:sz w:val="24"/>
          <w:szCs w:val="24"/>
        </w:rPr>
        <w:t>因此，ECPR的潜在获益应该与复杂、无效和额外成本等因素相平衡。与IHCA患者相比，在OHCA中接受ECPR的患者预后更差。在我们的研究中，我们观察到在未经筛选的CA患者群体中进行ECPR治疗时，只有不到25%的患者存活以及神经功能恢复。尤其是在OHCA患者中，只观察到9%的患者有良好的神经功能结果。较长时间的ECMO辅助治疗，尤其是对于OHCA患者，即延长有效复苏的持续时间和实施ECPR的时间，可以部分解释这些发现。事实上，应采用严格的选择标准，如初始可电击复律和短的低流量时间。使用</w:t>
      </w:r>
      <w:proofErr w:type="gramStart"/>
      <w:r>
        <w:rPr>
          <w:rStyle w:val="translated-span"/>
          <w:rFonts w:ascii="宋体" w:hAnsi="宋体" w:cs="宋体" w:hint="eastAsia"/>
          <w:sz w:val="24"/>
          <w:szCs w:val="24"/>
        </w:rPr>
        <w:t>先前公布</w:t>
      </w:r>
      <w:proofErr w:type="gramEnd"/>
      <w:r>
        <w:rPr>
          <w:rStyle w:val="translated-span"/>
          <w:rFonts w:ascii="宋体" w:hAnsi="宋体" w:cs="宋体" w:hint="eastAsia"/>
          <w:sz w:val="24"/>
          <w:szCs w:val="24"/>
        </w:rPr>
        <w:t>的选择标准对整个队列进行事后分析表明，38%的患者取得了良好的神经功能结果；考虑到复苏期的延长，这一亚组患者可以从这种干预中获益最大，并可能在将来的ECPR和CCPR比较试验中代表一个目标人群。其中两个标准（即旁观者心肺复苏和ECMO时间）也与良好的神经预后的发生独立相关，并在其他研究中被确定为预测变量。重要的是，ECPR不应过早实施，因为大多数CCPR幸存者在复苏开始后24分钟内达到ROSC，在这些情况下，ECPR的获益可能会被其风险掩盖。复苏时间较长（即&gt;60分钟）的患者是否需要系统地排除在ECPR项目之外（至少对于OHCA），或者额外的治疗是否有助于减少缺血-再灌注损伤仍然是个未知数。</w:t>
      </w:r>
    </w:p>
    <w:p w14:paraId="10A9BE1E" w14:textId="3B115292" w:rsidR="00FA08FB" w:rsidRDefault="000E3D8A" w:rsidP="00D71269">
      <w:pPr>
        <w:spacing w:line="360" w:lineRule="auto"/>
        <w:ind w:right="32" w:firstLineChars="200" w:firstLine="480"/>
        <w:rPr>
          <w:rFonts w:ascii="宋体" w:hAnsi="宋体" w:cs="宋体"/>
          <w:sz w:val="24"/>
          <w:szCs w:val="24"/>
        </w:rPr>
      </w:pPr>
      <w:r>
        <w:rPr>
          <w:rStyle w:val="translated-span"/>
          <w:rFonts w:ascii="宋体" w:hAnsi="宋体" w:cs="宋体" w:hint="eastAsia"/>
          <w:sz w:val="24"/>
          <w:szCs w:val="24"/>
        </w:rPr>
        <w:t>接受ECPR治疗的患者多器官功能障碍的发生率较高，如急性肾损伤、弥散性血管内凝血、双侧肺浸润、缺氧性肝炎和出血，所有并发症都可能导致早期死亡。据报道，近50%的CA术后患者出现肾功能不全，尤其是既往存在肾功能不全、高龄、复苏持续时间较长和休克的患者，与不良预后独立相关。在另一项研究中，Roberts等人报告，CA后大脑外器官功能障碍很常见，但只有心血管功能障碍和气体交换改变与预后结果相关。此外，在近10%的CA患者中观察到了缺氧性肝损伤，并且是这种情况下神经系统预后不良的独立预测因素。脑外器官功能障碍在ECPR后的描述不多，而插管相关的并发症，包括腿部缺血、血管损伤或严重出血，经常被报道为ECMO相关并发症。由于现代技术和出血风险，大多数患者在ECMO植入后的第一天没有进行全身持续抗凝治疗，这也是因为在冠状动脉手术中服用过抗血小板药物和小剂量抗凝剂，没有ECMO系统凝血的报告。这些发现强调了ECPR是一个复杂的过程，需要非常密集的资源使用；大多数干</w:t>
      </w:r>
      <w:r>
        <w:rPr>
          <w:rStyle w:val="translated-span"/>
          <w:rFonts w:ascii="宋体" w:hAnsi="宋体" w:cs="宋体" w:hint="eastAsia"/>
          <w:sz w:val="24"/>
          <w:szCs w:val="24"/>
        </w:rPr>
        <w:lastRenderedPageBreak/>
        <w:t>预措施（即机械通气、冠状动脉造影、红细胞输注、RRT）都是在ECMO开始后早期实施的，无论是对预后良好还是不良的患者。然而，由于许多非幸存者在入院后2-3天内死亡，因此ECPR不会导致这些患者的ICU护理长期无效。此外，只有2%的患者观察到插管失败，这表明ECPR应该保留给有经验的中心。</w:t>
      </w:r>
    </w:p>
    <w:p w14:paraId="5AEF317B" w14:textId="77777777" w:rsidR="00FA08FB" w:rsidRDefault="000E3D8A" w:rsidP="00D71269">
      <w:pPr>
        <w:spacing w:line="360" w:lineRule="auto"/>
        <w:ind w:right="32" w:firstLineChars="200" w:firstLine="480"/>
        <w:rPr>
          <w:rFonts w:ascii="宋体" w:hAnsi="宋体" w:cs="宋体"/>
          <w:sz w:val="24"/>
          <w:szCs w:val="24"/>
        </w:rPr>
      </w:pPr>
      <w:r>
        <w:rPr>
          <w:rStyle w:val="translated-span"/>
          <w:rFonts w:ascii="宋体" w:hAnsi="宋体" w:cs="宋体" w:hint="eastAsia"/>
          <w:sz w:val="24"/>
          <w:szCs w:val="24"/>
        </w:rPr>
        <w:t>尽管缺血时间延长，但仍有13%的人考虑捐献器官。这些数据表明，当通过体外治疗确保高血流量时，这些患者的器官恢复仍可能发生。在一项包括若干观察性研究在内的系统综述中，约10%的ECPR患者被确定为非存活者中的器官捐赠者。在我们的队列中，诊断为脑死亡的患者比例仅为4%；这可能是由于许多早期死亡（即48小时内）或缺乏诊断该患者循环停止的原型算法。在另一项研究中，4%的ECPR患者被诊断为脑死亡。然而，ECPR不仅可以改善患者的预后，而且可以为那些不可避免的死亡患者提供间接的社会福利，同时也可以为随后的移植提供可存活的器官。由于大多数器官捐赠者将死于不可逆转的脑损伤和无效治疗的退出，根据当地国家政策和立法，ECPR申请应伴随额外的移植项目（即马斯特里赫特III标准），允许此类器官捐赠。</w:t>
      </w:r>
    </w:p>
    <w:p w14:paraId="254A1872" w14:textId="3E88AEE3" w:rsidR="00FA08FB" w:rsidRDefault="000E3D8A" w:rsidP="00D71269">
      <w:pPr>
        <w:spacing w:line="360" w:lineRule="auto"/>
        <w:ind w:right="32" w:firstLineChars="179" w:firstLine="430"/>
        <w:rPr>
          <w:rStyle w:val="translated-span"/>
          <w:rFonts w:ascii="宋体" w:hAnsi="宋体" w:cs="宋体"/>
          <w:sz w:val="24"/>
          <w:szCs w:val="24"/>
        </w:rPr>
      </w:pPr>
      <w:r>
        <w:rPr>
          <w:rStyle w:val="translated-span"/>
          <w:rFonts w:ascii="宋体" w:hAnsi="宋体" w:cs="宋体" w:hint="eastAsia"/>
          <w:sz w:val="24"/>
          <w:szCs w:val="24"/>
        </w:rPr>
        <w:t>本研究局限性，首先，由于在急诊阶段数据收集和报告的限制，如无流动时间，有一些可能为选择ECPR患者提供了进一步的信息相关的数据缺失。此外，有关IHCA的许多相关信息，如骤停地点（即急诊科、ICU、血管造影、普通病房）、监测系统的存在和病房类型等都缺失，这可能会增加患者群体的异质性。没有设置对照组；因此无法评估ECPR相对于传统策略的真正好处。我们的研究结果仍然是纯描述性的，未来的随机试验将提供ECPR与CCPR比较的有效性证据。第三，符合标准患者的选择没有得到控制，即没有对所有中心的选择标准进行标准化。此外，可能有ECPR潜在适应症但最终未接受治疗的患者数量也</w:t>
      </w:r>
      <w:proofErr w:type="gramStart"/>
      <w:r>
        <w:rPr>
          <w:rStyle w:val="translated-span"/>
          <w:rFonts w:ascii="宋体" w:hAnsi="宋体" w:cs="宋体" w:hint="eastAsia"/>
          <w:sz w:val="24"/>
          <w:szCs w:val="24"/>
        </w:rPr>
        <w:t>不</w:t>
      </w:r>
      <w:proofErr w:type="gramEnd"/>
      <w:r>
        <w:rPr>
          <w:rStyle w:val="translated-span"/>
          <w:rFonts w:ascii="宋体" w:hAnsi="宋体" w:cs="宋体" w:hint="eastAsia"/>
          <w:sz w:val="24"/>
          <w:szCs w:val="24"/>
        </w:rPr>
        <w:t>可用，这在我们的分析中引入了显著的选择偏差。这将限制这些发现在其他环境下的普遍性。第四，没有一个诊断算法来确定CA的病因在所有的中心都是标准化的，除了冠状动脉造影没有其他诊断程序的报道。此外，一些患者可能</w:t>
      </w:r>
      <w:r w:rsidR="00FB7704">
        <w:rPr>
          <w:rStyle w:val="translated-span"/>
          <w:rFonts w:ascii="宋体" w:hAnsi="宋体" w:cs="宋体" w:hint="eastAsia"/>
          <w:sz w:val="24"/>
          <w:szCs w:val="24"/>
        </w:rPr>
        <w:t>极</w:t>
      </w:r>
      <w:r>
        <w:rPr>
          <w:rStyle w:val="translated-span"/>
          <w:rFonts w:ascii="宋体" w:hAnsi="宋体" w:cs="宋体" w:hint="eastAsia"/>
          <w:sz w:val="24"/>
          <w:szCs w:val="24"/>
        </w:rPr>
        <w:t>其不稳定甚至死亡后几个小时内启动ECPR，这妨碍了一个完整的诊断评估。第五，我们没有收集ECMO实施后的其他并发症，如肢体缺血；然而，大多数死亡是由于多器官衰竭或持续性休克，这是继发于缺氧损伤的严重程度，而不是与ECMO相关的事件。第六，我们无法分析ECPR成本，因为各国的报销和医疗保健经济差</w:t>
      </w:r>
      <w:r>
        <w:rPr>
          <w:rStyle w:val="translated-span"/>
          <w:rFonts w:ascii="宋体" w:hAnsi="宋体" w:cs="宋体" w:hint="eastAsia"/>
          <w:sz w:val="24"/>
          <w:szCs w:val="24"/>
        </w:rPr>
        <w:lastRenderedPageBreak/>
        <w:t>异很大。在一项研究中，心脏骤停后的医疗相关费用非常高，特别是在重症监护室发生的心脏骤停。然而，如前所述，ICU住院时间相对较短，因为大多数死亡发生得很早，因此避免了其他危重疾病造成的长期资源浪费。此外，虽然我们没有评估长期严重神经功能障碍的费用，但只有22名患者在完全依赖的情况下存活，这将在很大程度上限制亲属的心理症状和经济变化负担。第七，“严格的经济政策审查标准”可能被认为是武断的，因为没有达成共识；因此，我们不能排除ECPR的其他选择标准将提供更高的生存率和FO率，尽管如果过于严格，将大大减少此类干预的合格患者数量。此外，其中一些标准（即电击复律、心肺复苏持续时间）在插管时可能不可靠，不应成为最终决定的唯一决定因素。考虑到相对较低的事件发生率，我们无法对亚组（如仅OHCA或有电击复律的患者）的良好神经预后的预测因素进行分析。第七，缺氧性脑损伤的预后不规范，可能导致一些患者早期停止维持生命的治疗。最后，ECPR后</w:t>
      </w:r>
      <w:proofErr w:type="gramStart"/>
      <w:r>
        <w:rPr>
          <w:rStyle w:val="translated-span"/>
          <w:rFonts w:ascii="宋体" w:hAnsi="宋体" w:cs="宋体" w:hint="eastAsia"/>
          <w:sz w:val="24"/>
          <w:szCs w:val="24"/>
        </w:rPr>
        <w:t>护理仍</w:t>
      </w:r>
      <w:proofErr w:type="gramEnd"/>
      <w:r>
        <w:rPr>
          <w:rStyle w:val="translated-span"/>
          <w:rFonts w:ascii="宋体" w:hAnsi="宋体" w:cs="宋体" w:hint="eastAsia"/>
          <w:sz w:val="24"/>
          <w:szCs w:val="24"/>
        </w:rPr>
        <w:t>存在很大的异质性，包括目标PaO2、PaCO2和MAP，以及ECMO设置。此外，我们只评估脑外器官功能障碍的存在，而不评估其严重程度（即AKI的不同阶段）。需要进一步的研究来确定这些问题在CA患者治疗结果中的作用。</w:t>
      </w:r>
    </w:p>
    <w:p w14:paraId="2698A24F" w14:textId="77777777" w:rsidR="00FA08FB" w:rsidRDefault="00FA08FB">
      <w:pPr>
        <w:spacing w:line="360" w:lineRule="auto"/>
        <w:ind w:right="32" w:firstLine="160"/>
        <w:rPr>
          <w:rFonts w:ascii="宋体" w:hAnsi="宋体" w:cs="宋体"/>
          <w:sz w:val="24"/>
          <w:szCs w:val="24"/>
        </w:rPr>
      </w:pPr>
    </w:p>
    <w:p w14:paraId="489782D2" w14:textId="1CAA0638" w:rsidR="00FA08FB" w:rsidRPr="00D71269" w:rsidRDefault="000E3D8A">
      <w:pPr>
        <w:pStyle w:val="2"/>
        <w:spacing w:line="360" w:lineRule="auto"/>
        <w:ind w:left="-4"/>
        <w:rPr>
          <w:rFonts w:ascii="宋体" w:hAnsi="宋体"/>
          <w:sz w:val="28"/>
          <w:szCs w:val="28"/>
        </w:rPr>
      </w:pPr>
      <w:r w:rsidRPr="00D71269">
        <w:rPr>
          <w:rStyle w:val="translated-span"/>
          <w:rFonts w:ascii="宋体" w:hAnsi="宋体" w:hint="eastAsia"/>
          <w:sz w:val="28"/>
          <w:szCs w:val="28"/>
        </w:rPr>
        <w:t>结论</w:t>
      </w:r>
    </w:p>
    <w:p w14:paraId="79687B8F" w14:textId="17FC1B02" w:rsidR="00FA08FB" w:rsidRPr="00D71269" w:rsidRDefault="000E3D8A">
      <w:pPr>
        <w:spacing w:after="112" w:line="360" w:lineRule="auto"/>
        <w:ind w:left="20" w:right="32" w:firstLineChars="200" w:firstLine="480"/>
        <w:rPr>
          <w:rStyle w:val="translated-span"/>
        </w:rPr>
      </w:pPr>
      <w:r>
        <w:rPr>
          <w:rStyle w:val="translated-span"/>
          <w:rFonts w:ascii="宋体" w:hAnsi="宋体" w:cs="宋体" w:hint="eastAsia"/>
          <w:sz w:val="24"/>
          <w:szCs w:val="24"/>
        </w:rPr>
        <w:t>在欧洲ECMO中心的难治性CA患者中，ECPR与院内和院外难治性心脏骤停的存活率以及幸存者良好的神经预后相关，尤其是在采用严格的选择标准时。</w:t>
      </w:r>
      <w:r>
        <w:rPr>
          <w:rStyle w:val="translated-span"/>
          <w:rFonts w:ascii="宋体" w:hAnsi="宋体" w:cs="宋体"/>
          <w:sz w:val="24"/>
          <w:szCs w:val="24"/>
        </w:rPr>
        <w:t>患有不可逆转脑损伤的非幸存者</w:t>
      </w:r>
      <w:r>
        <w:rPr>
          <w:rStyle w:val="translated-span"/>
          <w:rFonts w:ascii="宋体" w:hAnsi="宋体" w:cs="宋体" w:hint="eastAsia"/>
          <w:sz w:val="24"/>
          <w:szCs w:val="24"/>
        </w:rPr>
        <w:t>可作为器官捐献的候选者</w:t>
      </w:r>
      <w:r>
        <w:rPr>
          <w:rStyle w:val="translated-span"/>
          <w:rFonts w:hint="eastAsia"/>
        </w:rPr>
        <w:t>。</w:t>
      </w:r>
    </w:p>
    <w:sectPr w:rsidR="00FA08FB" w:rsidRPr="00D712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06F54" w14:textId="77777777" w:rsidR="00B2289D" w:rsidRDefault="00B2289D">
      <w:pPr>
        <w:spacing w:line="240" w:lineRule="auto"/>
      </w:pPr>
      <w:r>
        <w:separator/>
      </w:r>
    </w:p>
  </w:endnote>
  <w:endnote w:type="continuationSeparator" w:id="0">
    <w:p w14:paraId="69DDF092" w14:textId="77777777" w:rsidR="00B2289D" w:rsidRDefault="00B22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CB17E" w14:textId="77777777" w:rsidR="00B2289D" w:rsidRDefault="00B2289D">
      <w:pPr>
        <w:spacing w:after="0" w:line="240" w:lineRule="auto"/>
      </w:pPr>
      <w:r>
        <w:separator/>
      </w:r>
    </w:p>
  </w:footnote>
  <w:footnote w:type="continuationSeparator" w:id="0">
    <w:p w14:paraId="0B79AA69" w14:textId="77777777" w:rsidR="00B2289D" w:rsidRDefault="00B228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ECE"/>
    <w:rsid w:val="00040A46"/>
    <w:rsid w:val="000E3D8A"/>
    <w:rsid w:val="0012788E"/>
    <w:rsid w:val="001320AE"/>
    <w:rsid w:val="001860C4"/>
    <w:rsid w:val="001D5EAE"/>
    <w:rsid w:val="00214B7E"/>
    <w:rsid w:val="00232E4E"/>
    <w:rsid w:val="002A3F2E"/>
    <w:rsid w:val="002F5B23"/>
    <w:rsid w:val="003233F3"/>
    <w:rsid w:val="003378D2"/>
    <w:rsid w:val="00394B1A"/>
    <w:rsid w:val="003B0157"/>
    <w:rsid w:val="00431A64"/>
    <w:rsid w:val="0048514F"/>
    <w:rsid w:val="0049783F"/>
    <w:rsid w:val="004A598E"/>
    <w:rsid w:val="00567ECE"/>
    <w:rsid w:val="005A51DA"/>
    <w:rsid w:val="00635165"/>
    <w:rsid w:val="0068334A"/>
    <w:rsid w:val="00696C7D"/>
    <w:rsid w:val="006A45FD"/>
    <w:rsid w:val="006A68C2"/>
    <w:rsid w:val="00765143"/>
    <w:rsid w:val="00827804"/>
    <w:rsid w:val="008328AD"/>
    <w:rsid w:val="008616BE"/>
    <w:rsid w:val="008A3900"/>
    <w:rsid w:val="008A6ECB"/>
    <w:rsid w:val="008C2FDB"/>
    <w:rsid w:val="00922580"/>
    <w:rsid w:val="0093141C"/>
    <w:rsid w:val="0093626A"/>
    <w:rsid w:val="00941DDB"/>
    <w:rsid w:val="009442FD"/>
    <w:rsid w:val="00964DBC"/>
    <w:rsid w:val="009C34B9"/>
    <w:rsid w:val="00A049B9"/>
    <w:rsid w:val="00B2289D"/>
    <w:rsid w:val="00B92584"/>
    <w:rsid w:val="00B9516B"/>
    <w:rsid w:val="00BC02C7"/>
    <w:rsid w:val="00C72AA5"/>
    <w:rsid w:val="00D05094"/>
    <w:rsid w:val="00D1652A"/>
    <w:rsid w:val="00D52EF3"/>
    <w:rsid w:val="00D71269"/>
    <w:rsid w:val="00D8074D"/>
    <w:rsid w:val="00D83B17"/>
    <w:rsid w:val="00D941DB"/>
    <w:rsid w:val="00DC17D4"/>
    <w:rsid w:val="00DD77D9"/>
    <w:rsid w:val="00E45BD7"/>
    <w:rsid w:val="00EA0CBA"/>
    <w:rsid w:val="00EE03CE"/>
    <w:rsid w:val="00FA08FB"/>
    <w:rsid w:val="00FB7704"/>
    <w:rsid w:val="00FF6EEA"/>
    <w:rsid w:val="0A200D69"/>
    <w:rsid w:val="107D556B"/>
    <w:rsid w:val="161957B0"/>
    <w:rsid w:val="16950C4A"/>
    <w:rsid w:val="196F3033"/>
    <w:rsid w:val="25CA3321"/>
    <w:rsid w:val="31AC66E5"/>
    <w:rsid w:val="382E5055"/>
    <w:rsid w:val="3999708B"/>
    <w:rsid w:val="414E2DD6"/>
    <w:rsid w:val="467A4C67"/>
    <w:rsid w:val="49F55EB3"/>
    <w:rsid w:val="511605EB"/>
    <w:rsid w:val="60B22F7F"/>
    <w:rsid w:val="620319D0"/>
    <w:rsid w:val="6C176596"/>
    <w:rsid w:val="78896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D044A14"/>
  <w15:docId w15:val="{92371109-CC73-4C1B-AC10-9C2CADF57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64" w:lineRule="auto"/>
      <w:ind w:left="10" w:hanging="10"/>
      <w:jc w:val="both"/>
    </w:pPr>
    <w:rPr>
      <w:rFonts w:ascii="Times New Roman" w:eastAsia="宋体" w:hAnsi="Times New Roman" w:cs="Times New Roman"/>
      <w:color w:val="000000"/>
    </w:rPr>
  </w:style>
  <w:style w:type="paragraph" w:styleId="1">
    <w:name w:val="heading 1"/>
    <w:basedOn w:val="a"/>
    <w:next w:val="a"/>
    <w:link w:val="10"/>
    <w:uiPriority w:val="9"/>
    <w:qFormat/>
    <w:pPr>
      <w:keepNext/>
      <w:spacing w:after="388" w:line="256" w:lineRule="auto"/>
      <w:ind w:left="104" w:firstLine="0"/>
      <w:jc w:val="left"/>
      <w:outlineLvl w:val="0"/>
    </w:pPr>
    <w:rPr>
      <w:rFonts w:ascii="Calibri" w:hAnsi="Calibri" w:cs="宋体"/>
      <w:b/>
      <w:bCs/>
      <w:color w:val="FFFFFF"/>
      <w:kern w:val="36"/>
      <w:sz w:val="26"/>
      <w:szCs w:val="26"/>
    </w:rPr>
  </w:style>
  <w:style w:type="paragraph" w:styleId="2">
    <w:name w:val="heading 2"/>
    <w:basedOn w:val="a"/>
    <w:next w:val="a"/>
    <w:link w:val="20"/>
    <w:uiPriority w:val="9"/>
    <w:qFormat/>
    <w:pPr>
      <w:keepNext/>
      <w:spacing w:after="0" w:line="256" w:lineRule="auto"/>
      <w:ind w:left="140"/>
      <w:jc w:val="left"/>
      <w:outlineLvl w:val="1"/>
    </w:pPr>
    <w:rPr>
      <w:rFonts w:ascii="Calibri" w:hAnsi="Calibri" w:cs="宋体"/>
      <w:b/>
      <w:bCs/>
      <w:sz w:val="21"/>
      <w:szCs w:val="21"/>
    </w:rPr>
  </w:style>
  <w:style w:type="paragraph" w:styleId="3">
    <w:name w:val="heading 3"/>
    <w:basedOn w:val="a"/>
    <w:next w:val="a"/>
    <w:link w:val="30"/>
    <w:uiPriority w:val="9"/>
    <w:qFormat/>
    <w:pPr>
      <w:keepNext/>
      <w:spacing w:after="0" w:line="256" w:lineRule="auto"/>
      <w:ind w:left="11"/>
      <w:jc w:val="left"/>
      <w:outlineLvl w:val="2"/>
    </w:pPr>
    <w:rPr>
      <w:rFonts w:ascii="Calibri" w:hAnsi="Calibri" w:cs="宋体"/>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footer"/>
    <w:basedOn w:val="a"/>
    <w:link w:val="a6"/>
    <w:uiPriority w:val="99"/>
    <w:unhideWhenUsed/>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9">
    <w:name w:val="annotation subject"/>
    <w:basedOn w:val="a3"/>
    <w:next w:val="a3"/>
    <w:link w:val="aa"/>
    <w:uiPriority w:val="99"/>
    <w:semiHidden/>
    <w:unhideWhenUsed/>
    <w:rPr>
      <w:b/>
      <w:bCs/>
    </w:rPr>
  </w:style>
  <w:style w:type="character" w:styleId="ab">
    <w:name w:val="annotation reference"/>
    <w:basedOn w:val="a0"/>
    <w:uiPriority w:val="99"/>
    <w:semiHidden/>
    <w:unhideWhenUsed/>
    <w:qFormat/>
    <w:rPr>
      <w:sz w:val="21"/>
      <w:szCs w:val="21"/>
    </w:rPr>
  </w:style>
  <w:style w:type="character" w:customStyle="1" w:styleId="10">
    <w:name w:val="标题 1 字符"/>
    <w:basedOn w:val="a0"/>
    <w:link w:val="1"/>
    <w:uiPriority w:val="9"/>
    <w:rPr>
      <w:rFonts w:ascii="Calibri" w:eastAsia="宋体" w:hAnsi="Calibri" w:cs="宋体"/>
      <w:b/>
      <w:bCs/>
      <w:color w:val="FFFFFF"/>
      <w:kern w:val="36"/>
      <w:sz w:val="26"/>
      <w:szCs w:val="26"/>
    </w:rPr>
  </w:style>
  <w:style w:type="character" w:customStyle="1" w:styleId="20">
    <w:name w:val="标题 2 字符"/>
    <w:basedOn w:val="a0"/>
    <w:link w:val="2"/>
    <w:uiPriority w:val="9"/>
    <w:rPr>
      <w:rFonts w:ascii="Calibri" w:eastAsia="宋体" w:hAnsi="Calibri" w:cs="宋体"/>
      <w:b/>
      <w:bCs/>
      <w:color w:val="000000"/>
      <w:kern w:val="0"/>
      <w:szCs w:val="21"/>
    </w:rPr>
  </w:style>
  <w:style w:type="character" w:customStyle="1" w:styleId="30">
    <w:name w:val="标题 3 字符"/>
    <w:basedOn w:val="a0"/>
    <w:link w:val="3"/>
    <w:uiPriority w:val="9"/>
    <w:qFormat/>
    <w:rPr>
      <w:rFonts w:ascii="Calibri" w:eastAsia="宋体" w:hAnsi="Calibri" w:cs="宋体"/>
      <w:b/>
      <w:bCs/>
      <w:color w:val="000000"/>
      <w:kern w:val="0"/>
      <w:sz w:val="18"/>
      <w:szCs w:val="18"/>
    </w:rPr>
  </w:style>
  <w:style w:type="character" w:customStyle="1" w:styleId="translated-span">
    <w:name w:val="translated-span"/>
    <w:basedOn w:val="a0"/>
    <w:qFormat/>
  </w:style>
  <w:style w:type="character" w:customStyle="1" w:styleId="a8">
    <w:name w:val="页眉 字符"/>
    <w:basedOn w:val="a0"/>
    <w:link w:val="a7"/>
    <w:uiPriority w:val="99"/>
    <w:qFormat/>
    <w:rPr>
      <w:rFonts w:ascii="Times New Roman" w:eastAsia="宋体" w:hAnsi="Times New Roman" w:cs="Times New Roman"/>
      <w:color w:val="000000"/>
      <w:kern w:val="0"/>
      <w:sz w:val="18"/>
      <w:szCs w:val="18"/>
    </w:rPr>
  </w:style>
  <w:style w:type="character" w:customStyle="1" w:styleId="a6">
    <w:name w:val="页脚 字符"/>
    <w:basedOn w:val="a0"/>
    <w:link w:val="a5"/>
    <w:uiPriority w:val="99"/>
    <w:rPr>
      <w:rFonts w:ascii="Times New Roman" w:eastAsia="宋体" w:hAnsi="Times New Roman" w:cs="Times New Roman"/>
      <w:color w:val="000000"/>
      <w:kern w:val="0"/>
      <w:sz w:val="18"/>
      <w:szCs w:val="18"/>
    </w:rPr>
  </w:style>
  <w:style w:type="character" w:customStyle="1" w:styleId="a4">
    <w:name w:val="批注文字 字符"/>
    <w:basedOn w:val="a0"/>
    <w:link w:val="a3"/>
    <w:uiPriority w:val="99"/>
    <w:semiHidden/>
    <w:rPr>
      <w:rFonts w:ascii="Times New Roman" w:eastAsia="宋体" w:hAnsi="Times New Roman" w:cs="Times New Roman"/>
      <w:color w:val="000000"/>
    </w:rPr>
  </w:style>
  <w:style w:type="character" w:customStyle="1" w:styleId="aa">
    <w:name w:val="批注主题 字符"/>
    <w:basedOn w:val="a4"/>
    <w:link w:val="a9"/>
    <w:uiPriority w:val="99"/>
    <w:semiHidden/>
    <w:rPr>
      <w:rFonts w:ascii="Times New Roman" w:eastAsia="宋体" w:hAnsi="Times New Roman" w:cs="Times New Roman"/>
      <w:b/>
      <w:bCs/>
      <w:color w:val="000000"/>
    </w:rPr>
  </w:style>
  <w:style w:type="character" w:customStyle="1" w:styleId="tgt">
    <w:name w:val="tgt"/>
    <w:basedOn w:val="a0"/>
  </w:style>
  <w:style w:type="paragraph" w:styleId="ac">
    <w:name w:val="List Paragraph"/>
    <w:basedOn w:val="a"/>
    <w:uiPriority w:val="99"/>
    <w:pPr>
      <w:ind w:firstLineChars="200" w:firstLine="420"/>
    </w:pPr>
  </w:style>
  <w:style w:type="paragraph" w:customStyle="1" w:styleId="11">
    <w:name w:val="修订1"/>
    <w:hidden/>
    <w:uiPriority w:val="99"/>
    <w:semiHidden/>
    <w:qFormat/>
    <w:rPr>
      <w:rFonts w:ascii="Times New Roman" w:eastAsia="宋体"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1407</Words>
  <Characters>8024</Characters>
  <Application>Microsoft Office Word</Application>
  <DocSecurity>0</DocSecurity>
  <Lines>66</Lines>
  <Paragraphs>18</Paragraphs>
  <ScaleCrop>false</ScaleCrop>
  <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周 荣华</cp:lastModifiedBy>
  <cp:revision>40</cp:revision>
  <dcterms:created xsi:type="dcterms:W3CDTF">2021-05-22T06:54:00Z</dcterms:created>
  <dcterms:modified xsi:type="dcterms:W3CDTF">2021-06-25T16:17:00Z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BB8FAB608FBE41DF9CBA6DB9FD6B30D4</vt:lpwstr>
  </property>
</Properties>
</file>