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24626" w14:textId="134DE1F2" w:rsidR="00043042" w:rsidRDefault="00B5448E">
      <w:pPr>
        <w:pStyle w:val="tgt"/>
        <w:spacing w:before="0" w:beforeAutospacing="0" w:after="0" w:afterAutospacing="0" w:line="390" w:lineRule="atLeast"/>
        <w:jc w:val="center"/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</w:pPr>
      <w:r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  <w:t>ECPR</w:t>
      </w:r>
      <w:r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  <w:t>提高长</w:t>
      </w:r>
      <w:r>
        <w:rPr>
          <w:rStyle w:val="transsent"/>
          <w:rFonts w:ascii="Times New Roman" w:eastAsiaTheme="minorEastAsia" w:hAnsi="Times New Roman" w:cs="Times New Roman" w:hint="eastAsia"/>
          <w:b/>
          <w:color w:val="333333"/>
          <w:sz w:val="30"/>
          <w:szCs w:val="30"/>
        </w:rPr>
        <w:t>程</w:t>
      </w:r>
      <w:r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  <w:t>心肺复苏致</w:t>
      </w:r>
      <w:r>
        <w:rPr>
          <w:rStyle w:val="transsent"/>
          <w:rFonts w:ascii="Times New Roman" w:eastAsiaTheme="minorEastAsia" w:hAnsi="Times New Roman" w:cs="Times New Roman" w:hint="eastAsia"/>
          <w:b/>
          <w:color w:val="333333"/>
          <w:sz w:val="30"/>
          <w:szCs w:val="30"/>
        </w:rPr>
        <w:t>进行性</w:t>
      </w:r>
      <w:r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  <w:t>代谢紊乱患者的存</w:t>
      </w:r>
      <w:r>
        <w:rPr>
          <w:rStyle w:val="transsent"/>
          <w:rFonts w:ascii="Times New Roman" w:eastAsiaTheme="minorEastAsia" w:hAnsi="Times New Roman" w:cs="Times New Roman" w:hint="eastAsia"/>
          <w:b/>
          <w:color w:val="333333"/>
          <w:sz w:val="30"/>
          <w:szCs w:val="30"/>
        </w:rPr>
        <w:t>活</w:t>
      </w:r>
      <w:r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  <w:t>率</w:t>
      </w:r>
    </w:p>
    <w:p w14:paraId="15C7BB50" w14:textId="77777777" w:rsidR="00043042" w:rsidRDefault="00043042">
      <w:pPr>
        <w:pStyle w:val="tgt"/>
        <w:spacing w:before="0" w:beforeAutospacing="0" w:after="0" w:afterAutospacing="0" w:line="390" w:lineRule="atLeast"/>
        <w:jc w:val="center"/>
        <w:rPr>
          <w:rStyle w:val="transsent"/>
          <w:rFonts w:ascii="Times New Roman" w:eastAsiaTheme="minorEastAsia" w:hAnsi="Times New Roman" w:cs="Times New Roman"/>
          <w:b/>
          <w:color w:val="333333"/>
          <w:sz w:val="30"/>
          <w:szCs w:val="30"/>
        </w:rPr>
      </w:pPr>
    </w:p>
    <w:p w14:paraId="2A69A8E8" w14:textId="77777777" w:rsidR="00043042" w:rsidRDefault="00B5448E">
      <w:pPr>
        <w:pStyle w:val="tgt"/>
        <w:spacing w:before="0" w:beforeAutospacing="0" w:after="0" w:afterAutospacing="0" w:line="390" w:lineRule="atLeast"/>
        <w:rPr>
          <w:rStyle w:val="transsent"/>
          <w:rFonts w:ascii="Times New Roman" w:eastAsiaTheme="minorEastAsia" w:hAnsi="Times New Roman" w:cs="Times New Roman"/>
          <w:b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翻译：郭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珊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 xml:space="preserve">  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泰达国际心血管病医院</w:t>
      </w:r>
    </w:p>
    <w:p w14:paraId="3281A102" w14:textId="77777777" w:rsidR="00043042" w:rsidRDefault="00B5448E">
      <w:pPr>
        <w:pStyle w:val="tgt"/>
        <w:spacing w:before="0" w:beforeAutospacing="0" w:after="0" w:afterAutospacing="0" w:line="390" w:lineRule="atLeast"/>
        <w:rPr>
          <w:rStyle w:val="transsent"/>
          <w:rFonts w:ascii="Times New Roman" w:eastAsiaTheme="minorEastAsia" w:hAnsi="Times New Roman" w:cs="Times New Roman"/>
          <w:b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审校：李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平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 xml:space="preserve">  </w:t>
      </w:r>
      <w:r>
        <w:rPr>
          <w:rStyle w:val="transsent"/>
          <w:rFonts w:ascii="Times New Roman" w:eastAsiaTheme="minorEastAsia" w:hAnsi="Times New Roman" w:cs="Times New Roman"/>
          <w:b/>
          <w:color w:val="333333"/>
        </w:rPr>
        <w:t>武汉协和医院</w:t>
      </w:r>
    </w:p>
    <w:p w14:paraId="320A95C8" w14:textId="77777777" w:rsidR="00043042" w:rsidRDefault="00043042">
      <w:pPr>
        <w:pStyle w:val="tgt"/>
        <w:spacing w:before="0" w:beforeAutospacing="0" w:after="0" w:afterAutospacing="0" w:line="390" w:lineRule="atLeast"/>
        <w:jc w:val="center"/>
        <w:rPr>
          <w:rStyle w:val="transsent"/>
          <w:rFonts w:ascii="Times New Roman" w:eastAsiaTheme="minorEastAsia" w:hAnsi="Times New Roman" w:cs="Times New Roman"/>
          <w:b/>
          <w:color w:val="333333"/>
        </w:rPr>
      </w:pPr>
    </w:p>
    <w:p w14:paraId="5B20DB24" w14:textId="77777777" w:rsidR="00043042" w:rsidRDefault="00B5448E">
      <w:pPr>
        <w:pStyle w:val="tgt"/>
        <w:spacing w:before="0" w:beforeAutospacing="0" w:after="0" w:afterAutospacing="0" w:line="390" w:lineRule="atLeast"/>
        <w:rPr>
          <w:rStyle w:val="transsent"/>
          <w:rFonts w:ascii="Times New Roman" w:eastAsiaTheme="minorEastAsia" w:hAnsi="Times New Roman" w:cs="Times New Roman"/>
          <w:b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noProof/>
          <w:color w:val="333333"/>
        </w:rPr>
        <w:drawing>
          <wp:inline distT="0" distB="0" distL="114300" distR="114300" wp14:anchorId="7C684B22" wp14:editId="48175D06">
            <wp:extent cx="1150620" cy="1727200"/>
            <wp:effectExtent l="0" t="0" r="5080" b="0"/>
            <wp:docPr id="10" name="图片 10" descr="8fff00933e23e8eb77117f152c4a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fff00933e23e8eb77117f152c4a6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EAD8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  <w:sz w:val="21"/>
          <w:szCs w:val="21"/>
        </w:rPr>
      </w:pPr>
    </w:p>
    <w:p w14:paraId="5DD5101F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  <w:sz w:val="21"/>
          <w:szCs w:val="21"/>
        </w:rPr>
      </w:pPr>
    </w:p>
    <w:p w14:paraId="51D8632E" w14:textId="77777777" w:rsidR="00043042" w:rsidRDefault="00B5448E">
      <w:pPr>
        <w:pStyle w:val="tgt"/>
        <w:spacing w:before="0" w:beforeAutospacing="0" w:after="0" w:afterAutospacing="0" w:line="390" w:lineRule="atLeast"/>
        <w:rPr>
          <w:rStyle w:val="transsent"/>
          <w:rFonts w:ascii="Times New Roman" w:eastAsiaTheme="minorEastAsia" w:hAnsi="Times New Roman" w:cs="Times New Roman"/>
          <w:color w:val="333333"/>
          <w:sz w:val="28"/>
          <w:szCs w:val="28"/>
        </w:rPr>
      </w:pPr>
      <w:r>
        <w:rPr>
          <w:rStyle w:val="transsent"/>
          <w:rFonts w:ascii="Times New Roman" w:eastAsiaTheme="minorEastAsia" w:hAnsi="Times New Roman" w:cs="Times New Roman"/>
          <w:color w:val="333333"/>
          <w:sz w:val="28"/>
          <w:szCs w:val="28"/>
        </w:rPr>
        <w:t>【摘要】</w:t>
      </w:r>
    </w:p>
    <w:p w14:paraId="7561C774" w14:textId="256F8E4F" w:rsidR="00043042" w:rsidRDefault="00B5448E">
      <w:pPr>
        <w:pStyle w:val="tgt"/>
        <w:spacing w:before="0" w:beforeAutospacing="0" w:after="0" w:afterAutospacing="0" w:line="360" w:lineRule="auto"/>
        <w:ind w:firstLineChars="200" w:firstLine="482"/>
        <w:rPr>
          <w:rStyle w:val="transsent"/>
          <w:rFonts w:ascii="Times New Roman" w:eastAsiaTheme="minorEastAsia" w:hAnsi="Times New Roman" w:cs="Times New Roman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背景</w:t>
      </w: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 xml:space="preserve">: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随着心肺复苏时间延长，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系统功能良好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下降，然而体外心肺复苏（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）对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系统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功能良好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患者生存率下降的影响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尚未可知。我们的目的是研究难治性室颤或室性心动过速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院外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心跳骤停行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患者，其复苏时间对存活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率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情况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及代谢的影响。</w:t>
      </w:r>
    </w:p>
    <w:p w14:paraId="4B850D86" w14:textId="49B2572F" w:rsidR="00043042" w:rsidRDefault="00B5448E">
      <w:pPr>
        <w:pStyle w:val="tgt"/>
        <w:spacing w:before="0" w:beforeAutospacing="0" w:after="0" w:afterAutospacing="0" w:line="360" w:lineRule="auto"/>
        <w:ind w:firstLineChars="200" w:firstLine="482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方法</w:t>
      </w: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: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连续纳入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难治性室颤或室性心动过速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院外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心跳骤停行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并转入明尼苏达大学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(UMN)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导管室治疗且最终存活的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160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名成人患者，与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654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名接受传统心肺复苏（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）标准治疗、在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 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胺碘酮、利多卡因或者安慰剂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实验中接受胺碘酮治疗的成人患者进行了回顾性对比研究，进而评估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持续时间与代谢变化和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生存率的关系</w:t>
      </w:r>
      <w:r>
        <w:rPr>
          <w:rFonts w:ascii="Times New Roman" w:eastAsiaTheme="minorEastAsia" w:hAnsi="Times New Roman" w:cs="Times New Roman"/>
          <w:color w:val="333333"/>
        </w:rPr>
        <w:t>。</w:t>
      </w:r>
    </w:p>
    <w:p w14:paraId="4A64AFB0" w14:textId="5977268B" w:rsidR="00043042" w:rsidRDefault="00B5448E">
      <w:pPr>
        <w:pStyle w:val="tgt"/>
        <w:spacing w:before="0" w:beforeAutospacing="0" w:after="0" w:afterAutospacing="0" w:line="360" w:lineRule="auto"/>
        <w:ind w:firstLineChars="200" w:firstLine="482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结果</w:t>
      </w: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 xml:space="preserve">: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患者生存率显著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高于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(33% vs 23%;P = 0.01)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显著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长于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(60min vs 35min; P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60min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时，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患者生存率显著优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组患者；然而，随着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时间的延长，两组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均逐渐下降。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20-29min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时，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组所有患者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8/8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），而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患者生存比例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24%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24/102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）。</w:t>
      </w:r>
      <w:r>
        <w:rPr>
          <w:rFonts w:ascii="Times New Roman" w:eastAsiaTheme="minorEastAsia" w:hAnsi="Times New Roman" w:cs="Times New Roman"/>
          <w:color w:val="333333"/>
        </w:rPr>
        <w:t>CPR</w:t>
      </w:r>
      <w:r>
        <w:rPr>
          <w:rFonts w:ascii="Times New Roman" w:eastAsiaTheme="minorEastAsia" w:hAnsi="Times New Roman" w:cs="Times New Roman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</w:t>
      </w:r>
      <w:r>
        <w:rPr>
          <w:rFonts w:ascii="Times New Roman" w:eastAsiaTheme="minorEastAsia" w:hAnsi="Times New Roman" w:cs="Times New Roman"/>
          <w:color w:val="333333"/>
        </w:rPr>
        <w:t>40min</w:t>
      </w:r>
      <w:r w:rsidRPr="00540E8D">
        <w:rPr>
          <w:rFonts w:ascii="Times New Roman" w:eastAsiaTheme="minorEastAsia" w:hAnsi="Times New Roman" w:cs="Times New Roman" w:hint="eastAsia"/>
          <w:color w:val="333333"/>
        </w:rPr>
        <w:t>时，</w:t>
      </w:r>
      <w:r>
        <w:rPr>
          <w:rFonts w:ascii="Times New Roman" w:eastAsiaTheme="minorEastAsia" w:hAnsi="Times New Roman" w:cs="Times New Roman" w:hint="eastAsia"/>
          <w:color w:val="333333"/>
        </w:rPr>
        <w:t>ALP</w:t>
      </w:r>
      <w:r>
        <w:rPr>
          <w:rFonts w:ascii="Times New Roman" w:eastAsiaTheme="minorEastAsia" w:hAnsi="Times New Roman" w:cs="Times New Roman" w:hint="eastAsia"/>
          <w:color w:val="333333"/>
        </w:rPr>
        <w:t>组无</w:t>
      </w:r>
      <w:r w:rsidR="00C2105E">
        <w:rPr>
          <w:rFonts w:ascii="Times New Roman" w:eastAsiaTheme="minorEastAsia" w:hAnsi="Times New Roman" w:cs="Times New Roman" w:hint="eastAsia"/>
          <w:color w:val="333333"/>
        </w:rPr>
        <w:t>保留神经系统功能良好的</w:t>
      </w:r>
      <w:r w:rsidR="00017247">
        <w:rPr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组患者中，</w:t>
      </w:r>
      <w:r>
        <w:rPr>
          <w:rFonts w:ascii="Times New Roman" w:eastAsiaTheme="minorEastAsia" w:hAnsi="Times New Roman" w:cs="Times New Roman"/>
          <w:color w:val="333333"/>
        </w:rPr>
        <w:t>CPR</w:t>
      </w:r>
      <w:r>
        <w:rPr>
          <w:rFonts w:ascii="Times New Roman" w:eastAsiaTheme="minorEastAsia" w:hAnsi="Times New Roman" w:cs="Times New Roman"/>
          <w:color w:val="333333"/>
        </w:rPr>
        <w:t>持</w:t>
      </w:r>
      <w:r>
        <w:rPr>
          <w:rFonts w:ascii="Times New Roman" w:eastAsiaTheme="minorEastAsia" w:hAnsi="Times New Roman" w:cs="Times New Roman"/>
          <w:color w:val="333333"/>
        </w:rPr>
        <w:lastRenderedPageBreak/>
        <w:t>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50-59min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患者生存比例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25% (9/36)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Fonts w:ascii="Times New Roman" w:eastAsiaTheme="minorEastAsia" w:hAnsi="Times New Roman" w:cs="Times New Roman"/>
          <w:color w:val="333333"/>
        </w:rPr>
        <w:t>CPR</w:t>
      </w:r>
      <w:r>
        <w:rPr>
          <w:rFonts w:ascii="Times New Roman" w:eastAsiaTheme="minorEastAsia" w:hAnsi="Times New Roman" w:cs="Times New Roman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≥60</w:t>
      </w:r>
      <w:r>
        <w:rPr>
          <w:rFonts w:ascii="Times New Roman" w:eastAsiaTheme="minorEastAsia" w:hAnsi="Times New Roman" w:cs="Times New Roman"/>
          <w:color w:val="333333"/>
        </w:rPr>
        <w:t>min</w:t>
      </w:r>
      <w:r>
        <w:rPr>
          <w:rFonts w:ascii="Times New Roman" w:eastAsiaTheme="minorEastAsia" w:hAnsi="Times New Roman" w:cs="Times New Roman" w:hint="eastAsia"/>
          <w:color w:val="333333"/>
        </w:rPr>
        <w:t>时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患者生存比例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19%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；而</w:t>
      </w:r>
      <w:r>
        <w:rPr>
          <w:rFonts w:ascii="Times New Roman" w:eastAsiaTheme="minorEastAsia" w:hAnsi="Times New Roman" w:cs="Times New Roman"/>
          <w:color w:val="333333"/>
        </w:rPr>
        <w:t>ALPS</w:t>
      </w:r>
      <w:r>
        <w:rPr>
          <w:rFonts w:ascii="Times New Roman" w:eastAsiaTheme="minorEastAsia" w:hAnsi="Times New Roman" w:cs="Times New Roman"/>
          <w:color w:val="333333"/>
        </w:rPr>
        <w:t>组无</w:t>
      </w:r>
      <w:r w:rsidR="00C2105E">
        <w:rPr>
          <w:rFonts w:ascii="Times New Roman" w:eastAsiaTheme="minorEastAsia" w:hAnsi="Times New Roman" w:cs="Times New Roman"/>
          <w:color w:val="333333"/>
        </w:rPr>
        <w:t>保留神经系统功能良好的</w:t>
      </w:r>
      <w:r w:rsidR="00017247">
        <w:rPr>
          <w:rFonts w:ascii="Times New Roman" w:eastAsiaTheme="minorEastAsia" w:hAnsi="Times New Roman" w:cs="Times New Roman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患者中，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≥60min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死亡或神经功能不良的相对风险显著降低。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随着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持续时间延长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，主要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代谢变化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可见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pH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下降、乳酸升高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动脉血二氧化碳分压增加，以及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左室壁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增厚。</w:t>
      </w:r>
    </w:p>
    <w:p w14:paraId="17BF5B62" w14:textId="052CB189" w:rsidR="00043042" w:rsidRDefault="00B5448E">
      <w:pPr>
        <w:pStyle w:val="tgt"/>
        <w:spacing w:before="0" w:beforeAutospacing="0" w:after="0" w:afterAutospacing="0" w:line="360" w:lineRule="auto"/>
        <w:ind w:firstLineChars="200" w:firstLine="482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结论</w:t>
      </w: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 xml:space="preserve">: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尽管存在着严重进行性代谢紊乱，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仍可改善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60min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患者的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预后。然而，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的持续时间仍然是影响患者存活率的决定性因素。</w:t>
      </w:r>
    </w:p>
    <w:p w14:paraId="59834880" w14:textId="77777777" w:rsidR="00043042" w:rsidRDefault="00043042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</w:p>
    <w:p w14:paraId="7CC8286F" w14:textId="06E03D7E" w:rsidR="00043042" w:rsidRDefault="00B5448E" w:rsidP="00540E8D">
      <w:pPr>
        <w:spacing w:after="0" w:line="360" w:lineRule="auto"/>
        <w:rPr>
          <w:rFonts w:ascii="Times New Roman" w:eastAsiaTheme="minorEastAsia" w:hAnsi="Times New Roman" w:cs="Times New Roman"/>
          <w:b/>
          <w:bCs/>
          <w:color w:val="333333"/>
          <w:sz w:val="30"/>
          <w:szCs w:val="30"/>
        </w:rPr>
      </w:pPr>
      <w:r w:rsidRPr="00540E8D">
        <w:rPr>
          <w:rStyle w:val="transsent"/>
          <w:rFonts w:ascii="宋体" w:eastAsia="宋体" w:hAnsi="宋体" w:cs="宋体" w:hint="eastAsia"/>
          <w:b/>
          <w:bCs/>
          <w:color w:val="333333"/>
          <w:sz w:val="28"/>
          <w:szCs w:val="28"/>
        </w:rPr>
        <w:t>临床新观点</w:t>
      </w:r>
    </w:p>
    <w:p w14:paraId="70CE784E" w14:textId="4BBB291B" w:rsidR="00043042" w:rsidRPr="00540E8D" w:rsidRDefault="00B5448E">
      <w:pPr>
        <w:pStyle w:val="tgt"/>
        <w:numPr>
          <w:ilvl w:val="0"/>
          <w:numId w:val="1"/>
        </w:numPr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院外心跳骤停且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持续＜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60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组高于传统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组</w:t>
      </w:r>
    </w:p>
    <w:p w14:paraId="214A7D5E" w14:textId="3AFAF900" w:rsidR="00043042" w:rsidRPr="00540E8D" w:rsidRDefault="00B5448E">
      <w:pPr>
        <w:pStyle w:val="tgt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虽然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存活率高于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组，但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仍随复苏时间的延长而下降。当复苏时间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≥30min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时，复苏时间每延长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，死亡率增加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25%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41B84E20" w14:textId="34E976A9" w:rsidR="00043042" w:rsidRDefault="00B5448E">
      <w:pPr>
        <w:pStyle w:val="tgt"/>
        <w:numPr>
          <w:ilvl w:val="0"/>
          <w:numId w:val="1"/>
        </w:numPr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长程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可引起进行性代谢紊乱，降低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神经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系统功能良好的患者生存率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</w:t>
      </w:r>
    </w:p>
    <w:p w14:paraId="69263A5F" w14:textId="553C666A" w:rsidR="00043042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  <w:sz w:val="30"/>
          <w:szCs w:val="30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  <w:sz w:val="28"/>
          <w:szCs w:val="28"/>
        </w:rPr>
        <w:t>临床意义</w:t>
      </w:r>
    </w:p>
    <w:p w14:paraId="08A8C3BF" w14:textId="01B2F0E9" w:rsidR="00043042" w:rsidRPr="00540E8D" w:rsidRDefault="00B5448E">
      <w:pPr>
        <w:pStyle w:val="tgt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使用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急救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系统可最大程度降低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院外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心跳骤停患者的复苏时间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7FD7324B" w14:textId="21F3119B" w:rsidR="00043042" w:rsidRPr="00540E8D" w:rsidRDefault="00B5448E">
      <w:pPr>
        <w:pStyle w:val="tgt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使心肺复苏的安全时限从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延长到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98min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7DB16F16" w14:textId="7FFA50E1" w:rsidR="00043042" w:rsidRDefault="00B5448E">
      <w:pPr>
        <w:pStyle w:val="tgt"/>
        <w:numPr>
          <w:ilvl w:val="0"/>
          <w:numId w:val="2"/>
        </w:numPr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需要进一步研究确认：如何提高心肺复苏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效率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、改善灌注、降低代谢需求，以延缓心肺复苏导致的进行性代谢紊乱，延长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的有效时限。</w:t>
      </w:r>
    </w:p>
    <w:p w14:paraId="1AFFAB56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</w:pPr>
    </w:p>
    <w:p w14:paraId="5D5CBDF5" w14:textId="77777777" w:rsidR="00043042" w:rsidRDefault="00B5448E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b/>
          <w:bCs/>
          <w:color w:val="333333"/>
          <w:sz w:val="28"/>
          <w:szCs w:val="28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  <w:sz w:val="28"/>
          <w:szCs w:val="28"/>
        </w:rPr>
        <w:t>前言</w:t>
      </w:r>
    </w:p>
    <w:p w14:paraId="38A4100F" w14:textId="54A29CED" w:rsidR="00043042" w:rsidRDefault="00B5448E" w:rsidP="00540E8D">
      <w:pPr>
        <w:pStyle w:val="tgt"/>
        <w:spacing w:before="0" w:beforeAutospacing="0" w:after="0" w:afterAutospacing="0" w:line="360" w:lineRule="auto"/>
        <w:ind w:firstLineChars="100" w:firstLine="240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美国每年有约三十六万人发生院外心跳骤停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(Out-of-hospital Cardiac Arrest, OHCA)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其中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1/3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患者因难治性心率失常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室颤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[VF]/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室速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[VT])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接受紧急医疗服务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(Emergency Medical S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ervices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, EMS)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。虽然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VF/VT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是心脏骤停患者预后良好的标志，但仍有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50%</w:t>
      </w:r>
      <w:r w:rsidRPr="00540E8D">
        <w:rPr>
          <w:rFonts w:ascii="Times New Roman" w:eastAsiaTheme="minorEastAsia" w:hAnsi="Times New Roman" w:cs="Times New Roman" w:hint="eastAsia"/>
          <w:color w:val="333333"/>
        </w:rPr>
        <w:t>的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OHCA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3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次除颤、给予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300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毫克胺碘酮治疗后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仍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未能恢复自主循环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(R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 xml:space="preserve">eturn of 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S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 xml:space="preserve">pontaneous 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C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 xml:space="preserve">irculation </w:t>
      </w:r>
      <w:r w:rsidRPr="00540E8D">
        <w:rPr>
          <w:rFonts w:ascii="Times New Roman" w:eastAsiaTheme="minorEastAsia" w:hAnsi="Times New Roman" w:cs="Times New Roman" w:hint="eastAsia"/>
          <w:color w:val="242021"/>
          <w:sz w:val="20"/>
        </w:rPr>
        <w:t xml:space="preserve">, 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ROSC)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。总的来说，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29%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bookmarkStart w:id="0" w:name="OLE_LINK5"/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保留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了良好的神经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系统功能</w:t>
      </w:r>
      <w:bookmarkEnd w:id="0"/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，但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难治性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lastRenderedPageBreak/>
        <w:t>中，只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有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8% - 15%</w:t>
      </w:r>
      <w:r w:rsidRPr="00540E8D">
        <w:rPr>
          <w:rFonts w:ascii="Times New Roman" w:eastAsiaTheme="minorEastAsia" w:hAnsi="Times New Roman" w:cs="Times New Roman" w:hint="eastAsia"/>
          <w:color w:val="333333"/>
        </w:rPr>
        <w:t>的患者</w:t>
      </w:r>
      <w:r>
        <w:rPr>
          <w:rFonts w:ascii="Times New Roman" w:eastAsiaTheme="minorEastAsia" w:hAnsi="Times New Roman" w:cs="Times New Roman" w:hint="eastAsia"/>
          <w:color w:val="333333"/>
        </w:rPr>
        <w:t>保留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了良好的神经</w:t>
      </w:r>
      <w:r w:rsidR="000A28E2">
        <w:rPr>
          <w:rStyle w:val="transsent"/>
          <w:rFonts w:ascii="Times New Roman" w:eastAsiaTheme="minorEastAsia" w:hAnsi="Times New Roman" w:cs="Times New Roman" w:hint="eastAsia"/>
          <w:color w:val="333333"/>
        </w:rPr>
        <w:t>系统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功能。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难治性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30-45min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若仍未恢复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ROSC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则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降至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以下。使用体外膜氧合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(ECMO)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辅助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的体外心肺复苏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(ECPR)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及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可使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患者生存率</w:t>
      </w:r>
      <w:r>
        <w:rPr>
          <w:rFonts w:ascii="Times New Roman" w:eastAsiaTheme="minorEastAsia" w:hAnsi="Times New Roman" w:cs="Times New Roman"/>
          <w:color w:val="333333"/>
        </w:rPr>
        <w:t>提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高至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40% - 50%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。在这些研究中，启用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ECMO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前的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持续时间大约为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小时。</w:t>
      </w:r>
    </w:p>
    <w:p w14:paraId="0908D835" w14:textId="3CEF1D0F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持续时间已被纳入终止复苏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指征之一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，然而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对于特别是在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情况下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适当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复苏时间指南仍无明确定义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。长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对代谢的影响以及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与存活率的关系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尚不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清楚。本研究旨在描述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长程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复苏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治疗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对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</w:t>
      </w:r>
      <w:r>
        <w:rPr>
          <w:rFonts w:ascii="Times New Roman" w:eastAsiaTheme="minorEastAsia" w:hAnsi="Times New Roman" w:cs="Times New Roman"/>
          <w:color w:val="333333"/>
        </w:rPr>
        <w:t>代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谢紊乱和生存率的影响。</w:t>
      </w:r>
    </w:p>
    <w:p w14:paraId="335B2B0B" w14:textId="77777777" w:rsidR="00043042" w:rsidRDefault="00043042">
      <w:pPr>
        <w:pStyle w:val="tgt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color w:val="333333"/>
        </w:rPr>
      </w:pPr>
    </w:p>
    <w:p w14:paraId="4B8F0AE7" w14:textId="77777777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  <w:sz w:val="28"/>
          <w:szCs w:val="28"/>
        </w:rPr>
      </w:pP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  <w:sz w:val="28"/>
          <w:szCs w:val="28"/>
        </w:rPr>
        <w:t>方法</w:t>
      </w:r>
    </w:p>
    <w:p w14:paraId="49A22BD0" w14:textId="63163714" w:rsidR="00043042" w:rsidRPr="00540E8D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队列相关数据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由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通讯作者处获得，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胺碘酮、利多卡因或安慰剂研究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数据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以及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生物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样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本和数据来源于美国国家心肺血液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研究所（</w:t>
      </w:r>
      <w:r>
        <w:rPr>
          <w:rStyle w:val="transsent"/>
          <w:rFonts w:ascii="Times New Roman" w:eastAsiaTheme="minorEastAsia" w:hAnsi="Times New Roman" w:cs="Times New Roman"/>
        </w:rPr>
        <w:t>NHLBI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）</w:t>
      </w:r>
      <w:r w:rsidR="00E84208"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生物信息</w:t>
      </w:r>
      <w:r>
        <w:rPr>
          <w:rStyle w:val="transsent"/>
          <w:rFonts w:ascii="Times New Roman" w:eastAsiaTheme="minorEastAsia" w:hAnsi="Times New Roman" w:cs="Times New Roman"/>
        </w:rPr>
        <w:t>存储协调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中心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（</w:t>
      </w:r>
      <w:proofErr w:type="spellStart"/>
      <w:r>
        <w:rPr>
          <w:rStyle w:val="transsent"/>
          <w:rFonts w:ascii="Times New Roman" w:eastAsiaTheme="minorEastAsia" w:hAnsi="Times New Roman" w:cs="Times New Roman"/>
          <w:color w:val="333333"/>
        </w:rPr>
        <w:t>BioLINCC</w:t>
      </w:r>
      <w:proofErr w:type="spellEnd"/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2526AFD9" w14:textId="664BD7A0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研究设计</w:t>
      </w:r>
    </w:p>
    <w:p w14:paraId="5834CD68" w14:textId="77777777" w:rsidR="00043042" w:rsidRDefault="00B5448E">
      <w:pPr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患者分为两组：</w:t>
      </w:r>
    </w:p>
    <w:p w14:paraId="7CB8E3BF" w14:textId="1466F638" w:rsidR="00043042" w:rsidRDefault="00B5448E" w:rsidP="00540E8D">
      <w:pPr>
        <w:numPr>
          <w:ilvl w:val="0"/>
          <w:numId w:val="3"/>
        </w:numPr>
        <w:spacing w:after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连续纳入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明尼苏达大学在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2015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月至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2019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月收治行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治疗的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160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例成人患者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；</w:t>
      </w:r>
    </w:p>
    <w:p w14:paraId="5C0615D7" w14:textId="0763C04F" w:rsidR="00043042" w:rsidRDefault="00B5448E" w:rsidP="00540E8D">
      <w:pPr>
        <w:numPr>
          <w:ilvl w:val="0"/>
          <w:numId w:val="3"/>
        </w:numPr>
        <w:spacing w:after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对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照队列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试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验中接受胺碘酮治疗并行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 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患者。</w:t>
      </w:r>
    </w:p>
    <w:p w14:paraId="7080B1E5" w14:textId="60314493" w:rsidR="00043042" w:rsidRDefault="00B5448E" w:rsidP="00540E8D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明尼苏达大学的机构审查委员会批准了这项研究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编号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1703M11301)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，并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豁免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知情同意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</w:t>
      </w:r>
    </w:p>
    <w:p w14:paraId="63B1EC69" w14:textId="77777777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UMN-ECPR</w:t>
      </w: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方案</w:t>
      </w:r>
    </w:p>
    <w:p w14:paraId="3BC7677D" w14:textId="750DE268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方案的细节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如前所述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。简言之，接受院前筛查后，符合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下列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标准的将被医护人员迅速送往明尼苏达州大学心导管实验室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(CCL)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：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纳入标准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年在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18 - 75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岁，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(2) 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推测为心源性，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(3)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初始心脏节律为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VF/VT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(4)VF/VT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患者接受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次除颤后仍未恢复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ROSC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或电击</w:t>
      </w:r>
      <w:r>
        <w:rPr>
          <w:rFonts w:ascii="Times New Roman" w:eastAsiaTheme="minorEastAsia" w:hAnsi="Times New Roman" w:cs="Times New Roman"/>
          <w:color w:val="333333"/>
        </w:rPr>
        <w:t>后仍为无脉电活动、心脏停搏</w:t>
      </w:r>
      <w:r>
        <w:rPr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Fonts w:ascii="Times New Roman" w:eastAsiaTheme="minorEastAsia" w:hAnsi="Times New Roman" w:cs="Times New Roman"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(5)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接受胺碘酮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300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毫克治疗，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(6)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身体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状况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适应隆德大学心脏骤停自动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装置，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(7)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预测转移到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24CFAE5B" w14:textId="3C23EDDD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患者在机械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和高级心脏支持</w:t>
      </w:r>
      <w:r>
        <w:rPr>
          <w:rFonts w:ascii="Times New Roman" w:eastAsiaTheme="minorEastAsia" w:hAnsi="Times New Roman" w:cs="Times New Roman"/>
          <w:color w:val="333333"/>
        </w:rPr>
        <w:t>下直接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转运到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，立即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检测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动脉血气检测乳酸水平。患者被送到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后，若以下标准一项都不满足则被宣布死亡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lastRenderedPageBreak/>
        <w:t>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：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呼末二氧化碳（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CO</w:t>
      </w:r>
      <w:r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）分压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≥10 mmHg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(2)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动脉血氧分压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(PaO</w:t>
      </w:r>
      <w:r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)≥50mmhg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或动脉氧饱和度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≥85%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(3)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乳酸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≤18 mmol/L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。符合这些标准的患者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则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继续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E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即</w:t>
      </w:r>
      <w:r>
        <w:rPr>
          <w:rFonts w:ascii="Times New Roman" w:eastAsiaTheme="minorEastAsia" w:hAnsi="Times New Roman" w:cs="Times New Roman"/>
          <w:color w:val="333333"/>
        </w:rPr>
        <w:t>心内科介入专家在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急诊超声引导下经皮外周动脉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-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静脉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插管行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V-A ECMO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转运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途中恢复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ROSC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的患者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Fonts w:ascii="Times New Roman" w:eastAsiaTheme="minorEastAsia" w:hAnsi="Times New Roman" w:cs="Times New Roman" w:hint="eastAsia"/>
          <w:color w:val="333333"/>
        </w:rPr>
        <w:t>则不采用</w:t>
      </w:r>
      <w:r>
        <w:rPr>
          <w:rFonts w:ascii="Times New Roman" w:eastAsiaTheme="minorEastAsia" w:hAnsi="Times New Roman" w:cs="Times New Roman" w:hint="eastAsia"/>
          <w:color w:val="333333"/>
        </w:rPr>
        <w:t>E</w:t>
      </w:r>
      <w:r>
        <w:rPr>
          <w:rFonts w:ascii="Times New Roman" w:eastAsiaTheme="minorEastAsia" w:hAnsi="Times New Roman" w:cs="Times New Roman"/>
          <w:color w:val="333333"/>
        </w:rPr>
        <w:t>CMO</w:t>
      </w:r>
      <w:r>
        <w:rPr>
          <w:rFonts w:ascii="Times New Roman" w:eastAsiaTheme="minorEastAsia" w:hAnsi="Times New Roman" w:cs="Times New Roman" w:hint="eastAsia"/>
          <w:color w:val="333333"/>
        </w:rPr>
        <w:t>，而是</w:t>
      </w:r>
      <w:r>
        <w:rPr>
          <w:rFonts w:ascii="Times New Roman" w:eastAsiaTheme="minorEastAsia" w:hAnsi="Times New Roman" w:cs="Times New Roman"/>
          <w:color w:val="333333"/>
        </w:rPr>
        <w:t>置入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主动脉内球囊反搏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(IABP, </w:t>
      </w:r>
      <w:proofErr w:type="spellStart"/>
      <w:r>
        <w:rPr>
          <w:rStyle w:val="transsent"/>
          <w:rFonts w:ascii="Times New Roman" w:eastAsiaTheme="minorEastAsia" w:hAnsi="Times New Roman" w:cs="Times New Roman"/>
          <w:color w:val="333333"/>
        </w:rPr>
        <w:t>Maquet</w:t>
      </w:r>
      <w:proofErr w:type="spellEnd"/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Cardiovascular, Wayne, NJ)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以维持血流动力学稳定，然后进行冠状动脉造影并据需要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冠状动脉介入治疗。所有患者均通过血管内降温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导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管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proofErr w:type="spellStart"/>
      <w:r>
        <w:rPr>
          <w:rStyle w:val="transsent"/>
          <w:rFonts w:ascii="Times New Roman" w:eastAsiaTheme="minorEastAsia" w:hAnsi="Times New Roman" w:cs="Times New Roman"/>
          <w:color w:val="333333"/>
        </w:rPr>
        <w:t>Thermogard</w:t>
      </w:r>
      <w:proofErr w:type="spellEnd"/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XP, </w:t>
      </w:r>
      <w:proofErr w:type="spellStart"/>
      <w:r>
        <w:rPr>
          <w:rStyle w:val="transsent"/>
          <w:rFonts w:ascii="Times New Roman" w:eastAsiaTheme="minorEastAsia" w:hAnsi="Times New Roman" w:cs="Times New Roman"/>
          <w:color w:val="333333"/>
        </w:rPr>
        <w:t>Zoll</w:t>
      </w:r>
      <w:proofErr w:type="spellEnd"/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降温至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34°C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行低温治疗</w:t>
      </w:r>
      <w:r>
        <w:rPr>
          <w:rFonts w:ascii="Times New Roman" w:eastAsiaTheme="minorEastAsia" w:hAnsi="Times New Roman" w:cs="Times New Roman"/>
          <w:color w:val="333333"/>
        </w:rPr>
        <w:t>；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如果出现出血并发症，</w:t>
      </w:r>
      <w:r>
        <w:rPr>
          <w:rFonts w:ascii="Times New Roman" w:eastAsiaTheme="minorEastAsia" w:hAnsi="Times New Roman" w:cs="Times New Roman"/>
          <w:color w:val="333333"/>
        </w:rPr>
        <w:t>温度维持至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36°C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中，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如果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稳定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血流动力学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和治疗可逆性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心跳骤停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后，心律仍未恢复，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则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宣布患者死亡。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心律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恢复的患者转入重症监护室（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ICU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）。</w:t>
      </w:r>
    </w:p>
    <w:p w14:paraId="6BDC1455" w14:textId="120FD17D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由于缺血会引起心室壁进行性增厚，患者在转入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ICU 24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小时内应行经胸超声心动图检查，评价左心室侧壁厚度作为替代评估缺血性损伤的程度。收集左室侧壁胸骨旁长轴、胸骨旁短轴和心尖四腔面图像。</w:t>
      </w:r>
    </w:p>
    <w:p w14:paraId="59163642" w14:textId="6C71D071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OHCA</w:t>
      </w: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患者的</w:t>
      </w:r>
      <w:r w:rsidRPr="00540E8D"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试验</w:t>
      </w:r>
    </w:p>
    <w:p w14:paraId="442C67F4" w14:textId="708320CB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是一项随机、双盲、多中心临床试验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难治性室性颤动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</w:t>
      </w:r>
    </w:p>
    <w:p w14:paraId="769CDDA5" w14:textId="5F7C1592" w:rsidR="00043042" w:rsidRDefault="00B5448E" w:rsidP="00540E8D">
      <w:pPr>
        <w:pStyle w:val="tgt"/>
        <w:spacing w:before="0" w:beforeAutospacing="0" w:after="0" w:afterAutospacing="0" w:line="360" w:lineRule="auto"/>
        <w:ind w:firstLineChars="100" w:firstLine="240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对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1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8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岁以上，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至少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经历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一次休克和血管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通路建立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后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发生非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外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伤性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、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难治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性心动过速或无搏动室速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的患者，在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标准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非肠道给药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治疗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的基础上，比较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胺碘酮、利多卡因和生理盐水安慰剂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的作用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 w:rsidR="002E6905">
        <w:rPr>
          <w:rStyle w:val="transsent"/>
          <w:rFonts w:ascii="Times New Roman" w:eastAsiaTheme="minorEastAsia" w:hAnsi="Times New Roman" w:cs="Times New Roman" w:hint="eastAsia"/>
          <w:color w:val="333333"/>
        </w:rPr>
        <w:t>本研究使用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纳入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队列中所有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18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-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75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岁的胺碘酮治疗组患者的</w:t>
      </w:r>
      <w:r>
        <w:rPr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持续时间和临床结果数据。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OHCA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患者的治疗按照当地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EMS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方案，并符合美国心脏协会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高级心脏生命支持指南。</w:t>
      </w:r>
    </w:p>
    <w:p w14:paraId="62540F9A" w14:textId="77777777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数据分类、管理和统计分析</w:t>
      </w:r>
    </w:p>
    <w:p w14:paraId="4DE7850D" w14:textId="7380E123" w:rsidR="00043042" w:rsidRDefault="00C2105E">
      <w:pPr>
        <w:pStyle w:val="tgt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strike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被定义为大脑表现类别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 w:rsidR="00B5448E">
        <w:rPr>
          <w:rFonts w:ascii="Times New Roman" w:eastAsiaTheme="minorEastAsia" w:hAnsi="Times New Roman" w:cs="Times New Roman"/>
          <w:color w:val="242021"/>
          <w:szCs w:val="18"/>
        </w:rPr>
        <w:t>Cerebral Performance Category</w:t>
      </w:r>
      <w:r w:rsidR="00B5448E">
        <w:rPr>
          <w:rFonts w:ascii="Times New Roman" w:eastAsiaTheme="minorEastAsia" w:hAnsi="Times New Roman" w:cs="Times New Roman"/>
          <w:sz w:val="22"/>
          <w:szCs w:val="22"/>
        </w:rPr>
        <w:t xml:space="preserve"> , 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CPC)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评分为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1 - 2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分的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 w:rsidR="00B5448E">
        <w:rPr>
          <w:rStyle w:val="transsent"/>
          <w:rFonts w:ascii="Times New Roman" w:eastAsiaTheme="minorEastAsia" w:hAnsi="Times New Roman" w:cs="Times New Roman" w:hint="eastAsia"/>
          <w:color w:val="333333"/>
        </w:rPr>
        <w:t>组患者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或</w:t>
      </w:r>
      <w:r w:rsidR="00B5448E">
        <w:rPr>
          <w:rStyle w:val="transsent"/>
          <w:rFonts w:ascii="Times New Roman" w:eastAsiaTheme="minorEastAsia" w:hAnsi="Times New Roman" w:cs="Times New Roman" w:hint="eastAsia"/>
          <w:color w:val="333333"/>
        </w:rPr>
        <w:t>改良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Rankin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量表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 w:rsidR="00B5448E">
        <w:rPr>
          <w:rFonts w:ascii="Times New Roman" w:eastAsiaTheme="minorEastAsia" w:hAnsi="Times New Roman" w:cs="Times New Roman"/>
          <w:color w:val="242021"/>
          <w:szCs w:val="18"/>
        </w:rPr>
        <w:t xml:space="preserve">modified Rankin </w:t>
      </w:r>
      <w:proofErr w:type="spellStart"/>
      <w:r w:rsidR="00B5448E">
        <w:rPr>
          <w:rFonts w:ascii="Times New Roman" w:eastAsiaTheme="minorEastAsia" w:hAnsi="Times New Roman" w:cs="Times New Roman"/>
          <w:color w:val="242021"/>
          <w:szCs w:val="18"/>
        </w:rPr>
        <w:t>cale</w:t>
      </w:r>
      <w:proofErr w:type="spellEnd"/>
      <w:r w:rsidR="00B5448E">
        <w:rPr>
          <w:rFonts w:ascii="Times New Roman" w:eastAsiaTheme="minorEastAsia" w:hAnsi="Times New Roman" w:cs="Times New Roman"/>
          <w:sz w:val="36"/>
          <w:szCs w:val="22"/>
        </w:rPr>
        <w:t xml:space="preserve"> </w:t>
      </w:r>
      <w:r w:rsidR="00B5448E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proofErr w:type="spellStart"/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mRS</w:t>
      </w:r>
      <w:proofErr w:type="spellEnd"/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得分为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0 - 3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分的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 w:rsidR="00B5448E">
        <w:rPr>
          <w:rStyle w:val="transsent"/>
          <w:rFonts w:ascii="Times New Roman" w:eastAsiaTheme="minorEastAsia" w:hAnsi="Times New Roman" w:cs="Times New Roman" w:hint="eastAsia"/>
          <w:color w:val="333333"/>
        </w:rPr>
        <w:t>组患者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。在出院时对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 w:rsidR="00B5448E">
        <w:rPr>
          <w:rStyle w:val="transsent"/>
          <w:rFonts w:ascii="Times New Roman" w:eastAsiaTheme="minorEastAsia" w:hAnsi="Times New Roman" w:cs="Times New Roman" w:hint="eastAsia"/>
          <w:color w:val="333333"/>
        </w:rPr>
        <w:t>组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患者进行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CPC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评分，并进行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6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个月临床随访。出院时对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组患者进行</w:t>
      </w:r>
      <w:proofErr w:type="spellStart"/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mRS</w:t>
      </w:r>
      <w:proofErr w:type="spellEnd"/>
      <w:r w:rsidR="00B5448E">
        <w:rPr>
          <w:rStyle w:val="transsent"/>
          <w:rFonts w:ascii="Times New Roman" w:eastAsiaTheme="minorEastAsia" w:hAnsi="Times New Roman" w:cs="Times New Roman"/>
          <w:color w:val="333333"/>
        </w:rPr>
        <w:t>测定。</w:t>
      </w:r>
    </w:p>
    <w:p w14:paraId="45E81219" w14:textId="38E99256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连续变量指标以均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±SEM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表示，分类变量指标以频率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百分比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表示。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组组间比较使用方差分析，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组组间比较使用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t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检验。</w:t>
      </w:r>
    </w:p>
    <w:p w14:paraId="730B22C5" w14:textId="77777777" w:rsidR="00043042" w:rsidRDefault="00043042">
      <w:pPr>
        <w:pStyle w:val="tgt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color w:val="333333"/>
        </w:rPr>
      </w:pPr>
    </w:p>
    <w:p w14:paraId="0D41C9AB" w14:textId="77777777" w:rsidR="00043042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  <w:sz w:val="30"/>
          <w:szCs w:val="30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  <w:sz w:val="30"/>
          <w:szCs w:val="30"/>
        </w:rPr>
        <w:t>结果</w:t>
      </w:r>
    </w:p>
    <w:p w14:paraId="1A98A9CE" w14:textId="0F077750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  <w:sz w:val="22"/>
          <w:szCs w:val="22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lastRenderedPageBreak/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方案运送的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160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例患者中，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133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(83%)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符合复苏标准，接受完整的复苏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治疗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。其中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例存活出院</w:t>
      </w:r>
      <w:r w:rsidR="000A28E2">
        <w:rPr>
          <w:rStyle w:val="transsent"/>
          <w:rFonts w:ascii="Times New Roman" w:eastAsiaTheme="minorEastAsia" w:hAnsi="Times New Roman" w:cs="Times New Roman" w:hint="eastAsia"/>
          <w:color w:val="333333"/>
        </w:rPr>
        <w:t>并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，分别占所有转运患者的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33%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和标准复苏患者的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39%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所有出院时</w:t>
      </w:r>
      <w:r w:rsidR="00C2105E"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保留神经系统功能良好的</w:t>
      </w:r>
      <w:r w:rsidRPr="005D4062">
        <w:rPr>
          <w:rStyle w:val="transsent"/>
          <w:color w:val="333333"/>
        </w:rPr>
        <w:t>患者</w:t>
      </w:r>
      <w:r w:rsidR="005D4062" w:rsidRPr="005D4062">
        <w:rPr>
          <w:rStyle w:val="transsent"/>
          <w:rFonts w:ascii="Times New Roman" w:eastAsiaTheme="minorEastAsia" w:hAnsi="Times New Roman" w:cs="Times New Roman"/>
        </w:rPr>
        <w:t>在</w:t>
      </w:r>
      <w:r w:rsidR="005D4062" w:rsidRPr="005D4062">
        <w:rPr>
          <w:rStyle w:val="transsent"/>
          <w:rFonts w:hint="eastAsia"/>
          <w:color w:val="333333"/>
        </w:rPr>
        <w:t>院外</w:t>
      </w:r>
      <w:r w:rsidR="005D4062" w:rsidRPr="005D4062">
        <w:rPr>
          <w:rStyle w:val="transsent"/>
          <w:color w:val="333333"/>
        </w:rPr>
        <w:t>6个月随访</w:t>
      </w:r>
      <w:r w:rsidR="005D4062" w:rsidRPr="005D4062">
        <w:rPr>
          <w:rStyle w:val="transsent"/>
          <w:rFonts w:ascii="Times New Roman" w:eastAsiaTheme="minorEastAsia" w:hAnsi="Times New Roman" w:cs="Times New Roman"/>
        </w:rPr>
        <w:t>时神经功能</w:t>
      </w:r>
      <w:r w:rsidR="005D4062">
        <w:rPr>
          <w:rStyle w:val="transsent"/>
          <w:rFonts w:ascii="Times New Roman" w:eastAsiaTheme="minorEastAsia" w:hAnsi="Times New Roman" w:cs="Times New Roman" w:hint="eastAsia"/>
          <w:color w:val="333333"/>
        </w:rPr>
        <w:t>保持</w:t>
      </w:r>
      <w:r w:rsidR="005D4062" w:rsidRPr="005D4062">
        <w:rPr>
          <w:rStyle w:val="transsent"/>
          <w:rFonts w:ascii="Times New Roman" w:eastAsiaTheme="minorEastAsia" w:hAnsi="Times New Roman" w:cs="Times New Roman"/>
        </w:rPr>
        <w:t>良好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队列中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显著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减少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：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654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例中有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148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(23%; P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。两组患者的人口统计学特征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被目击者送医救治概率、旁观者</w:t>
      </w:r>
      <w:r>
        <w:rPr>
          <w:rFonts w:ascii="Times New Roman" w:eastAsiaTheme="minorEastAsia" w:hAnsi="Times New Roman" w:cs="Times New Roman" w:hint="eastAsia"/>
          <w:color w:val="2E3033"/>
          <w:szCs w:val="19"/>
          <w:shd w:val="clear" w:color="auto" w:fill="FFFFFF"/>
        </w:rPr>
        <w:t>C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PR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和在公共场所被送医方面相似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。两组患者的年龄有统计学差异，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组患者为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57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岁，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59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 = 0.033)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平均持续时间</w:t>
      </w:r>
      <w:r>
        <w:rPr>
          <w:rStyle w:val="transsent"/>
          <w:rFonts w:ascii="Times New Roman" w:eastAsiaTheme="minorEastAsia" w:hAnsi="Times New Roman" w:cs="Times New Roman" w:hint="eastAsia"/>
        </w:rPr>
        <w:t>显著</w:t>
      </w:r>
      <w:r>
        <w:rPr>
          <w:rStyle w:val="transsent"/>
          <w:rFonts w:ascii="Times New Roman" w:eastAsiaTheme="minorEastAsia" w:hAnsi="Times New Roman" w:cs="Times New Roman"/>
        </w:rPr>
        <w:t>缩短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(P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队列中，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34%(221/654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时间小于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，而所有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≥20min(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2A)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6DB716A1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</w:p>
    <w:p w14:paraId="23EC13AE" w14:textId="77777777" w:rsidR="00043042" w:rsidRDefault="00B5448E" w:rsidP="00540E8D">
      <w:pPr>
        <w:pStyle w:val="tgt"/>
        <w:spacing w:before="0" w:beforeAutospacing="0" w:after="0" w:afterAutospacing="0" w:line="360" w:lineRule="auto"/>
        <w:jc w:val="center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noProof/>
          <w:color w:val="333333"/>
        </w:rPr>
        <w:drawing>
          <wp:inline distT="0" distB="0" distL="0" distR="0" wp14:anchorId="43588AD1" wp14:editId="36D25363">
            <wp:extent cx="5274310" cy="30772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EF9F" w14:textId="77777777" w:rsidR="00043042" w:rsidRDefault="00043042" w:rsidP="00540E8D">
      <w:pPr>
        <w:pStyle w:val="tgt"/>
        <w:spacing w:before="0" w:beforeAutospacing="0" w:after="0" w:afterAutospacing="0" w:line="360" w:lineRule="auto"/>
        <w:ind w:left="150" w:right="106"/>
      </w:pPr>
    </w:p>
    <w:p w14:paraId="4AE6DF5A" w14:textId="1244CAE8" w:rsidR="00043042" w:rsidRDefault="00B5448E" w:rsidP="00540E8D">
      <w:pPr>
        <w:spacing w:before="251" w:line="360" w:lineRule="auto"/>
        <w:ind w:left="152"/>
        <w:jc w:val="center"/>
      </w:pPr>
      <w:r>
        <w:rPr>
          <w:rFonts w:ascii="Times New Roman" w:eastAsiaTheme="minorEastAsia" w:hAnsi="Times New Roman" w:cs="Times New Roman"/>
          <w:noProof/>
          <w:color w:val="231F20"/>
          <w:sz w:val="24"/>
          <w:szCs w:val="24"/>
        </w:rPr>
        <w:lastRenderedPageBreak/>
        <w:drawing>
          <wp:inline distT="0" distB="0" distL="0" distR="0" wp14:anchorId="74F15FA2" wp14:editId="6AEEC063">
            <wp:extent cx="4495800" cy="50222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8621" cy="50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AAF8" w14:textId="37F0D484" w:rsidR="00043042" w:rsidRDefault="00B5448E" w:rsidP="00540E8D">
      <w:pPr>
        <w:spacing w:line="360" w:lineRule="auto"/>
        <w:ind w:left="150" w:right="106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column"/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577D97" wp14:editId="0B79EBCA">
            <wp:extent cx="4349750" cy="7473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ABDB" w14:textId="77777777" w:rsidR="00043042" w:rsidRDefault="00043042" w:rsidP="00540E8D">
      <w:pPr>
        <w:spacing w:after="0" w:line="360" w:lineRule="auto"/>
        <w:ind w:left="150" w:right="106"/>
      </w:pPr>
    </w:p>
    <w:p w14:paraId="2730E7D9" w14:textId="77777777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患者和</w:t>
      </w:r>
      <w:r w:rsidRPr="00540E8D">
        <w:rPr>
          <w:rStyle w:val="transsent"/>
          <w:rFonts w:ascii="Times New Roman" w:eastAsiaTheme="minorEastAsia" w:hAnsi="Times New Roman" w:cs="Times New Roman"/>
          <w:b/>
          <w:bCs/>
          <w:color w:val="333333"/>
        </w:rPr>
        <w:t>OHCA</w:t>
      </w: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特征</w:t>
      </w:r>
    </w:p>
    <w:p w14:paraId="1A3B29E7" w14:textId="54D43FC8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患者的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(CPC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评分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1-2)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与年龄、发生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OHCA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是否有目击者、从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911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呼叫到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EMS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到达的时间或呼末二氧化碳分压没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lastRenderedPageBreak/>
        <w:t>有显著相关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与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CPC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评分为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3 - 4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的死亡或存活患者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(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分别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P=0.024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和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P=0.017)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，以及未达到复苏标准的患者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(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分别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P=0.015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和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P=0.022)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相比，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的患者多为在公共场所发生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OHCA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并接受了旁观者的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，此外这些患者的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持续时间也更短。与不符合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标准的患者相比，转运至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治疗神经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系统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功能良好的患者乳酸水平较低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pH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值较高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，动脉氧分压水平较高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(Pa</w:t>
      </w:r>
      <w:r w:rsidR="002E6905">
        <w:rPr>
          <w:rStyle w:val="transsent"/>
          <w:rFonts w:ascii="Times New Roman" w:eastAsiaTheme="minorEastAsia" w:hAnsi="Times New Roman" w:cs="Times New Roman"/>
          <w:color w:val="333333"/>
        </w:rPr>
        <w:t>O</w:t>
      </w:r>
      <w:r w:rsidRPr="002E6905"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;</w:t>
      </w:r>
      <w:r w:rsidR="002E6905">
        <w:rPr>
          <w:rStyle w:val="transsent"/>
          <w:rFonts w:ascii="Times New Roman" w:eastAsiaTheme="minorEastAsia" w:hAnsi="Times New Roman" w:cs="Times New Roman"/>
          <w:color w:val="333333"/>
        </w:rPr>
        <w:t xml:space="preserve">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P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0.001)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动脉二氧化碳分压较低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(Paco2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；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P=0.04)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。虽然低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PaO</w:t>
      </w:r>
      <w:r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为停止复苏的标准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但若同时合并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PaCO</w:t>
      </w:r>
      <w:r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异常则表明患者通气、氧合不足，提示复苏期间气道管理失败</w:t>
      </w:r>
      <w:r>
        <w:rPr>
          <w:rFonts w:ascii="Times New Roman" w:eastAsiaTheme="minorEastAsia" w:hAnsi="Times New Roman" w:cs="Times New Roman"/>
          <w:color w:val="333333"/>
        </w:rPr>
        <w:t>。</w:t>
      </w:r>
    </w:p>
    <w:p w14:paraId="6279FF47" w14:textId="77777777" w:rsidR="00043042" w:rsidRDefault="00043042">
      <w:pPr>
        <w:pStyle w:val="tgt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color w:val="333333"/>
        </w:rPr>
      </w:pPr>
    </w:p>
    <w:p w14:paraId="7D4335FC" w14:textId="77777777" w:rsidR="00043042" w:rsidRDefault="00B5448E" w:rsidP="00540E8D">
      <w:pPr>
        <w:pStyle w:val="tgt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color w:val="333333"/>
        </w:rPr>
      </w:pPr>
      <w:r>
        <w:rPr>
          <w:rFonts w:ascii="Times New Roman" w:eastAsiaTheme="minorEastAsia" w:hAnsi="Times New Roman" w:cs="Times New Roman"/>
          <w:noProof/>
          <w:color w:val="333333"/>
        </w:rPr>
        <w:drawing>
          <wp:inline distT="0" distB="0" distL="0" distR="0" wp14:anchorId="315993FA" wp14:editId="548EACDE">
            <wp:extent cx="5274310" cy="3452495"/>
            <wp:effectExtent l="0" t="0" r="8890" b="1905"/>
            <wp:docPr id="1" name="图片 0" descr="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表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F3AB" w14:textId="77777777" w:rsidR="00043042" w:rsidRDefault="00043042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</w:p>
    <w:p w14:paraId="05E2A8FD" w14:textId="7ED99751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>
        <w:rPr>
          <w:rFonts w:ascii="Times New Roman" w:eastAsiaTheme="minorEastAsia" w:hAnsi="Times New Roman" w:cs="Times New Roman" w:hint="eastAsia"/>
          <w:b/>
          <w:bCs/>
          <w:color w:val="333333"/>
        </w:rPr>
        <w:t>C</w:t>
      </w:r>
      <w:r>
        <w:rPr>
          <w:rFonts w:ascii="Times New Roman" w:eastAsiaTheme="minorEastAsia" w:hAnsi="Times New Roman" w:cs="Times New Roman"/>
          <w:b/>
          <w:bCs/>
          <w:color w:val="333333"/>
        </w:rPr>
        <w:t>PR</w:t>
      </w: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时间</w:t>
      </w:r>
    </w:p>
    <w:p w14:paraId="6379986C" w14:textId="0A2F450D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sz w:val="36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＞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20min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显著高于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所有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时间为小于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60min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P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0.01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）。其中，当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20-29min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,UMN-ECPR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组复苏率为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100%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8/8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），而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24%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24/102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）。同时，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 w:hint="eastAsia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下降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1.9%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下降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2.5%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34%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218/636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）的患者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≥40min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，这些患者均未达到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状态。而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50-59min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25%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9/36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）的患者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lastRenderedPageBreak/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≥60min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19%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的患者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。接受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20-59min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的患者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死亡或神经功能不良的相对风险降低了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29%</w:t>
      </w: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  <w:color w:val="242021"/>
        </w:rPr>
        <w:t>(95% CI,</w:t>
      </w:r>
      <w:r>
        <w:rPr>
          <w:rFonts w:ascii="Times New Roman" w:eastAsiaTheme="minorEastAsia" w:hAnsi="Times New Roman" w:cs="Times New Roman"/>
          <w:color w:val="242021"/>
          <w:szCs w:val="20"/>
        </w:rPr>
        <w:br/>
      </w:r>
      <w:r>
        <w:rPr>
          <w:rFonts w:ascii="Times New Roman" w:eastAsiaTheme="minorEastAsia" w:hAnsi="Times New Roman" w:cs="Times New Roman"/>
          <w:color w:val="242021"/>
        </w:rPr>
        <w:t xml:space="preserve">18–41; </w:t>
      </w:r>
      <w:r>
        <w:rPr>
          <w:rFonts w:ascii="Times New Roman" w:eastAsiaTheme="minorEastAsia" w:hAnsi="Times New Roman" w:cs="Times New Roman"/>
          <w:i/>
          <w:iCs/>
          <w:color w:val="242021"/>
        </w:rPr>
        <w:t>P</w:t>
      </w:r>
      <w:r>
        <w:rPr>
          <w:rFonts w:ascii="Times New Roman" w:eastAsiaTheme="minorEastAsia" w:hAnsi="Times New Roman" w:cs="Times New Roman"/>
          <w:color w:val="242021"/>
        </w:rPr>
        <w:t xml:space="preserve"> </w:t>
      </w:r>
      <w:r>
        <w:rPr>
          <w:rFonts w:ascii="Times New Roman" w:eastAsiaTheme="minorEastAsia" w:hAnsi="Times New Roman" w:cs="Times New Roman"/>
          <w:color w:val="242021"/>
        </w:rPr>
        <w:t>＜</w:t>
      </w:r>
      <w:r>
        <w:rPr>
          <w:rFonts w:ascii="Times New Roman" w:eastAsiaTheme="minorEastAsia" w:hAnsi="Times New Roman" w:cs="Times New Roman"/>
          <w:color w:val="242021"/>
        </w:rPr>
        <w:t xml:space="preserve"> 0.001)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；接受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CPR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时间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≥60min</w:t>
      </w:r>
      <w:r>
        <w:rPr>
          <w:rFonts w:ascii="Times New Roman" w:eastAsiaTheme="minorEastAsia" w:hAnsi="Times New Roman" w:cs="Times New Roman"/>
          <w:color w:val="2E3033"/>
          <w:szCs w:val="19"/>
          <w:shd w:val="clear" w:color="auto" w:fill="FFFFFF"/>
        </w:rPr>
        <w:t>的患者死亡或神经功能不良的相对风险降低了</w:t>
      </w:r>
      <w:r>
        <w:rPr>
          <w:rFonts w:ascii="Times New Roman" w:eastAsiaTheme="minorEastAsia" w:hAnsi="Times New Roman" w:cs="Times New Roman"/>
          <w:color w:val="242021"/>
        </w:rPr>
        <w:t xml:space="preserve">19% (95% CI, 10–27; </w:t>
      </w:r>
      <w:r>
        <w:rPr>
          <w:rFonts w:ascii="Times New Roman" w:eastAsiaTheme="minorEastAsia" w:hAnsi="Times New Roman" w:cs="Times New Roman"/>
          <w:i/>
          <w:iCs/>
          <w:color w:val="242021"/>
        </w:rPr>
        <w:t>P</w:t>
      </w:r>
      <w:r>
        <w:rPr>
          <w:rFonts w:ascii="Times New Roman" w:eastAsiaTheme="minorEastAsia" w:hAnsi="Times New Roman" w:cs="Times New Roman"/>
          <w:color w:val="242021"/>
        </w:rPr>
        <w:t xml:space="preserve"> </w:t>
      </w:r>
      <w:r>
        <w:rPr>
          <w:rFonts w:ascii="Times New Roman" w:eastAsiaTheme="minorEastAsia" w:hAnsi="Times New Roman" w:cs="Times New Roman"/>
          <w:color w:val="242021"/>
        </w:rPr>
        <w:t>＜</w:t>
      </w:r>
      <w:r>
        <w:rPr>
          <w:rFonts w:ascii="Times New Roman" w:eastAsiaTheme="minorEastAsia" w:hAnsi="Times New Roman" w:cs="Times New Roman"/>
          <w:color w:val="242021"/>
        </w:rPr>
        <w:t xml:space="preserve"> 0.001)</w:t>
      </w:r>
      <w:r>
        <w:rPr>
          <w:rFonts w:ascii="Times New Roman" w:eastAsiaTheme="minorEastAsia" w:hAnsi="Times New Roman" w:cs="Times New Roman"/>
          <w:color w:val="242021"/>
        </w:rPr>
        <w:t>。</w:t>
      </w:r>
    </w:p>
    <w:p w14:paraId="0AC99B75" w14:textId="6029EB8E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多变量回归分析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变量包括所有入组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心脏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骤停患者的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一般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特征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如年龄、性别、种族，目击者，旁观者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，公共场所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，分析结果表明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情况下，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患者生存比例较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高。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Logistic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回归模型分析结果显示：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著高于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ALPS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组患者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显</w:t>
      </w:r>
      <w:r>
        <w:rPr>
          <w:rStyle w:val="transsent"/>
          <w:rFonts w:ascii="Times New Roman" w:eastAsiaTheme="minorEastAsia" w:hAnsi="Times New Roman" w:cs="Times New Roman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优势比为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39.77 (95% CI 18.62 -84.90;P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0.001)</w:t>
      </w:r>
      <w:r w:rsidRPr="00540E8D">
        <w:rPr>
          <w:rStyle w:val="transsent"/>
          <w:rFonts w:ascii="Times New Roman" w:eastAsiaTheme="minorEastAsia" w:hAnsi="Times New Roman" w:cs="Times New Roman" w:hint="eastAsia"/>
          <w:color w:val="333333"/>
        </w:rPr>
        <w:t>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20.80 (95% CI 8.65-50.03;P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0.001)(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</w:p>
    <w:p w14:paraId="735D9EAF" w14:textId="3A5D219A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队列中，长时间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与脑死亡高风险相关，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CPR≥60min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脑死亡率为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(23%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[19/84]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 = 0.004)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CCL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无法恢复规律心率比例为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(11% [9 / 84]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P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＜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 0.001;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 b)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 60 - 69min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评分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3 - 4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分，患者生存风险增加到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9%(3/35)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，此后随着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持续时间的延长生存率降低。死于缺氧性脑损伤和</w:t>
      </w:r>
      <w:r>
        <w:rPr>
          <w:rFonts w:ascii="Times New Roman" w:eastAsiaTheme="minorEastAsia" w:hAnsi="Times New Roman" w:cs="Times New Roman"/>
          <w:color w:val="333333"/>
        </w:rPr>
        <w:t>不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符合复苏持续标准的病例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零散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发生，无明显趋势。</w:t>
      </w:r>
    </w:p>
    <w:p w14:paraId="699D8ED7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</w:p>
    <w:p w14:paraId="5C7DC444" w14:textId="77777777" w:rsidR="00043042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Fonts w:ascii="Times New Roman" w:eastAsiaTheme="minorEastAsia" w:hAnsi="Times New Roman" w:cs="Times New Roman"/>
          <w:noProof/>
          <w:color w:val="333333"/>
        </w:rPr>
        <w:drawing>
          <wp:inline distT="0" distB="0" distL="0" distR="0" wp14:anchorId="008AB2B2" wp14:editId="63F5F54F">
            <wp:extent cx="5274310" cy="1766570"/>
            <wp:effectExtent l="0" t="0" r="8890" b="11430"/>
            <wp:docPr id="2" name="图片 1" descr="表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表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4FB3" w14:textId="77777777" w:rsidR="00043042" w:rsidRDefault="00043042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</w:p>
    <w:p w14:paraId="15016E8E" w14:textId="77777777" w:rsidR="00043042" w:rsidRPr="00540E8D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bCs/>
          <w:color w:val="333333"/>
        </w:rPr>
      </w:pPr>
      <w:r w:rsidRPr="00540E8D">
        <w:rPr>
          <w:rStyle w:val="transsent"/>
          <w:rFonts w:ascii="Times New Roman" w:eastAsiaTheme="minorEastAsia" w:hAnsi="Times New Roman" w:cs="Times New Roman" w:hint="eastAsia"/>
          <w:b/>
          <w:bCs/>
          <w:color w:val="333333"/>
        </w:rPr>
        <w:t>长时间复苏期间的代谢变化</w:t>
      </w:r>
    </w:p>
    <w:p w14:paraId="72FAFFF8" w14:textId="4B6954B6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UMN-ECPR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队列中，所有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160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例患者长时间复苏中观察到的代谢变化如图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所示。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</w:rPr>
        <w:t>pH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值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由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20-29min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7.21±0.02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降低为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90-99min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6.93±0.05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。平均动脉乳酸值从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20 - 29min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7.35±0.9 mmol/L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，增加到持续时间为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90-99min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14.1±1.6 mmol/L(P &lt; 0.001)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。平均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PaCO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从持续时间为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20-29min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47±4.3 mmHg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升高</w:t>
      </w:r>
      <w:r>
        <w:rPr>
          <w:rStyle w:val="transsent"/>
          <w:rFonts w:ascii="Times New Roman" w:eastAsiaTheme="minorEastAsia" w:hAnsi="Times New Roman" w:cs="Times New Roman"/>
        </w:rPr>
        <w:t>至持续时间为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90-99min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68±5.4 mmHg (P=0.042)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。动脉血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pH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值、动脉血乳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lastRenderedPageBreak/>
        <w:t>酸值和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PaCO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的变化最大发生在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 30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-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40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-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49min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PaO</w:t>
      </w:r>
      <w:r w:rsidRPr="00540E8D">
        <w:rPr>
          <w:rStyle w:val="transsent"/>
          <w:rFonts w:ascii="Times New Roman" w:eastAsiaTheme="minorEastAsia" w:hAnsi="Times New Roman" w:cs="Times New Roman"/>
          <w:color w:val="333333"/>
          <w:vertAlign w:val="subscript"/>
        </w:rPr>
        <w:t>2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持续时间没有相关性。</w:t>
      </w:r>
    </w:p>
    <w:p w14:paraId="223ACAC0" w14:textId="72EF9EB9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对在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ICU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121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例患者行经胸超声心动图检查，发现随着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时间延长，左室侧壁厚度明显增加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(P=0.004;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4)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。与神经系统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保留功能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完好的存活者相比，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评分为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3 ~ 4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分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存活或死亡患者的左心室侧壁均明显增厚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 xml:space="preserve">(1.40±0.03 cm vs 1.27±0.04 cm; P=0.006; 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图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4 b)</w:t>
      </w:r>
    </w:p>
    <w:p w14:paraId="4480F2C1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</w:rPr>
      </w:pPr>
    </w:p>
    <w:p w14:paraId="21EDA923" w14:textId="77777777" w:rsidR="00043042" w:rsidRDefault="00B5448E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Fonts w:ascii="Times New Roman" w:eastAsiaTheme="minorEastAsia" w:hAnsi="Times New Roman" w:cs="Times New Roman"/>
          <w:noProof/>
          <w:color w:val="333333"/>
        </w:rPr>
        <w:drawing>
          <wp:inline distT="0" distB="0" distL="0" distR="0" wp14:anchorId="6DD0BCB4" wp14:editId="7BE424FF">
            <wp:extent cx="5274310" cy="4139565"/>
            <wp:effectExtent l="0" t="0" r="8890" b="635"/>
            <wp:docPr id="3" name="图片 2" descr="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3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6115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</w:p>
    <w:p w14:paraId="4C5F3367" w14:textId="77777777" w:rsidR="00043042" w:rsidRDefault="00043042">
      <w:pPr>
        <w:pStyle w:val="tgt"/>
        <w:spacing w:before="0" w:beforeAutospacing="0" w:after="0" w:afterAutospacing="0" w:line="360" w:lineRule="auto"/>
        <w:rPr>
          <w:rStyle w:val="transsent"/>
          <w:rFonts w:ascii="Times New Roman" w:eastAsiaTheme="minorEastAsia" w:hAnsi="Times New Roman" w:cs="Times New Roman"/>
          <w:color w:val="333333"/>
        </w:rPr>
      </w:pPr>
    </w:p>
    <w:p w14:paraId="7B43C8E9" w14:textId="77777777" w:rsidR="00043042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Fonts w:ascii="Times New Roman" w:eastAsiaTheme="minorEastAsia" w:hAnsi="Times New Roman" w:cs="Times New Roman"/>
          <w:noProof/>
          <w:color w:val="333333"/>
        </w:rPr>
        <w:lastRenderedPageBreak/>
        <w:drawing>
          <wp:inline distT="0" distB="0" distL="0" distR="0" wp14:anchorId="7A6C4225" wp14:editId="26327ADB">
            <wp:extent cx="5274310" cy="2466975"/>
            <wp:effectExtent l="0" t="0" r="8890" b="22225"/>
            <wp:docPr id="4" name="图片 3" descr="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9252" w14:textId="77777777" w:rsidR="00043042" w:rsidRDefault="00043042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</w:p>
    <w:p w14:paraId="231D4169" w14:textId="77777777" w:rsidR="00043042" w:rsidRDefault="00B5448E">
      <w:pPr>
        <w:pStyle w:val="tgt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b/>
          <w:bCs/>
          <w:color w:val="333333"/>
          <w:sz w:val="30"/>
          <w:szCs w:val="30"/>
        </w:rPr>
        <w:t>结论</w:t>
      </w:r>
    </w:p>
    <w:p w14:paraId="34632918" w14:textId="682E7BAC" w:rsidR="00043042" w:rsidRDefault="00B5448E">
      <w:pPr>
        <w:pStyle w:val="tgt"/>
        <w:spacing w:before="0" w:beforeAutospacing="0" w:after="0" w:afterAutospacing="0" w:line="360" w:lineRule="auto"/>
        <w:ind w:firstLineChars="200" w:firstLine="480"/>
        <w:rPr>
          <w:rStyle w:val="transsent"/>
          <w:rFonts w:ascii="Times New Roman" w:eastAsiaTheme="minorEastAsia" w:hAnsi="Times New Roman" w:cs="Times New Roman"/>
          <w:color w:val="333333"/>
        </w:rPr>
      </w:pPr>
      <w:r>
        <w:rPr>
          <w:rStyle w:val="transsent"/>
          <w:rFonts w:ascii="Times New Roman" w:eastAsiaTheme="minorEastAsia" w:hAnsi="Times New Roman" w:cs="Times New Roman"/>
          <w:color w:val="333333"/>
        </w:rPr>
        <w:t>与仅行标准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相比</w:t>
      </w:r>
      <w:r>
        <w:rPr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明尼苏达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大学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对院外心跳骤停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（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O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HCA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）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难治性室颤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/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室速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治疗方案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与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显著增加的</w:t>
      </w:r>
      <w:r w:rsidR="00C2105E">
        <w:rPr>
          <w:rStyle w:val="transsent"/>
          <w:rFonts w:ascii="Times New Roman" w:eastAsiaTheme="minorEastAsia" w:hAnsi="Times New Roman" w:cs="Times New Roman"/>
          <w:color w:val="333333"/>
        </w:rPr>
        <w:t>保留神经系统功能良好的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患者生存率相关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，即使在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前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已进行长时间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的患者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也是如此。然而，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持续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仍然至关重要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，因为随着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时间延长，存活率显著下降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，其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原因尚不清楚，但左室壁逐渐增加的厚度和进行性恶化的代谢状况表明，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C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期间的灌注不足导致了细胞累积性损伤。因此，为了最大程度提高生存率，必须优化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流程和相关的院前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急救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尽量减少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ECPR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前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的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时间。此外，我们需要进一步的研究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以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最大程度降低院前代谢恶化的方法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，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如维持或提高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CPR</w:t>
      </w:r>
      <w:r>
        <w:rPr>
          <w:rStyle w:val="transsent"/>
          <w:rFonts w:ascii="Times New Roman" w:eastAsiaTheme="minorEastAsia" w:hAnsi="Times New Roman" w:cs="Times New Roman" w:hint="eastAsia"/>
          <w:color w:val="333333"/>
        </w:rPr>
        <w:t>效率、</w:t>
      </w:r>
      <w:r>
        <w:rPr>
          <w:rStyle w:val="transsent"/>
          <w:rFonts w:ascii="Times New Roman" w:eastAsiaTheme="minorEastAsia" w:hAnsi="Times New Roman" w:cs="Times New Roman"/>
          <w:color w:val="333333"/>
        </w:rPr>
        <w:t>改善灌注或降低代谢需求。</w:t>
      </w:r>
    </w:p>
    <w:p w14:paraId="7E4CBFC1" w14:textId="77777777" w:rsidR="00043042" w:rsidRDefault="00043042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04304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32987" w14:textId="77777777" w:rsidR="00CA16E5" w:rsidRDefault="00CA16E5">
      <w:pPr>
        <w:spacing w:after="0"/>
      </w:pPr>
      <w:r>
        <w:separator/>
      </w:r>
    </w:p>
  </w:endnote>
  <w:endnote w:type="continuationSeparator" w:id="0">
    <w:p w14:paraId="22813122" w14:textId="77777777" w:rsidR="00CA16E5" w:rsidRDefault="00CA16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Segoe Print"/>
    <w:charset w:val="00"/>
    <w:family w:val="roman"/>
    <w:pitch w:val="default"/>
  </w:font>
  <w:font w:name="FrutigerLTStd-LightItalic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0F085" w14:textId="77777777" w:rsidR="00CA16E5" w:rsidRDefault="00CA16E5">
      <w:pPr>
        <w:spacing w:after="0"/>
      </w:pPr>
      <w:r>
        <w:separator/>
      </w:r>
    </w:p>
  </w:footnote>
  <w:footnote w:type="continuationSeparator" w:id="0">
    <w:p w14:paraId="16BC1C1B" w14:textId="77777777" w:rsidR="00CA16E5" w:rsidRDefault="00CA16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415149E"/>
    <w:multiLevelType w:val="singleLevel"/>
    <w:tmpl w:val="E415149E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003403EC"/>
    <w:multiLevelType w:val="multilevel"/>
    <w:tmpl w:val="003403E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AF23BB"/>
    <w:multiLevelType w:val="multilevel"/>
    <w:tmpl w:val="74AF23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D50"/>
    <w:rsid w:val="BFBF6CE2"/>
    <w:rsid w:val="BFFFA16C"/>
    <w:rsid w:val="D7FB07B4"/>
    <w:rsid w:val="D8EE2F37"/>
    <w:rsid w:val="DEBDF18E"/>
    <w:rsid w:val="E3B9132C"/>
    <w:rsid w:val="EACFD691"/>
    <w:rsid w:val="EB4DCEE4"/>
    <w:rsid w:val="EFFDE553"/>
    <w:rsid w:val="EFFF1096"/>
    <w:rsid w:val="F7D75F9A"/>
    <w:rsid w:val="FBEFB0BE"/>
    <w:rsid w:val="FBF76C5B"/>
    <w:rsid w:val="FDFF394F"/>
    <w:rsid w:val="FEFF8C89"/>
    <w:rsid w:val="FFEDEC60"/>
    <w:rsid w:val="0000040B"/>
    <w:rsid w:val="00013CD5"/>
    <w:rsid w:val="00014E80"/>
    <w:rsid w:val="00017247"/>
    <w:rsid w:val="0001733D"/>
    <w:rsid w:val="00030CDC"/>
    <w:rsid w:val="0003492A"/>
    <w:rsid w:val="00036D7F"/>
    <w:rsid w:val="00043042"/>
    <w:rsid w:val="00047D8E"/>
    <w:rsid w:val="0005108D"/>
    <w:rsid w:val="00062843"/>
    <w:rsid w:val="00067FA3"/>
    <w:rsid w:val="00080F0B"/>
    <w:rsid w:val="00081E65"/>
    <w:rsid w:val="0009368B"/>
    <w:rsid w:val="000A28E2"/>
    <w:rsid w:val="000B3E83"/>
    <w:rsid w:val="000C3DF6"/>
    <w:rsid w:val="000D0508"/>
    <w:rsid w:val="000D630E"/>
    <w:rsid w:val="000E461C"/>
    <w:rsid w:val="001004CD"/>
    <w:rsid w:val="00120860"/>
    <w:rsid w:val="00137CD2"/>
    <w:rsid w:val="001518BF"/>
    <w:rsid w:val="001551EA"/>
    <w:rsid w:val="00164D0E"/>
    <w:rsid w:val="00183D88"/>
    <w:rsid w:val="001876AD"/>
    <w:rsid w:val="00194752"/>
    <w:rsid w:val="00195421"/>
    <w:rsid w:val="001A2565"/>
    <w:rsid w:val="001B6F56"/>
    <w:rsid w:val="001C3985"/>
    <w:rsid w:val="001D2978"/>
    <w:rsid w:val="00212672"/>
    <w:rsid w:val="00221749"/>
    <w:rsid w:val="00221FBB"/>
    <w:rsid w:val="00222C56"/>
    <w:rsid w:val="00236776"/>
    <w:rsid w:val="00240E8C"/>
    <w:rsid w:val="00241CE9"/>
    <w:rsid w:val="00252FFE"/>
    <w:rsid w:val="00256275"/>
    <w:rsid w:val="00277964"/>
    <w:rsid w:val="00281644"/>
    <w:rsid w:val="00281DAA"/>
    <w:rsid w:val="002973DB"/>
    <w:rsid w:val="002B4649"/>
    <w:rsid w:val="002C70B5"/>
    <w:rsid w:val="002C721C"/>
    <w:rsid w:val="002D0BFC"/>
    <w:rsid w:val="002D105A"/>
    <w:rsid w:val="002D78DC"/>
    <w:rsid w:val="002E6905"/>
    <w:rsid w:val="002F33DE"/>
    <w:rsid w:val="003155A8"/>
    <w:rsid w:val="00323B43"/>
    <w:rsid w:val="003253F1"/>
    <w:rsid w:val="00326B41"/>
    <w:rsid w:val="00341721"/>
    <w:rsid w:val="00366949"/>
    <w:rsid w:val="003A4D3D"/>
    <w:rsid w:val="003C05A2"/>
    <w:rsid w:val="003C5644"/>
    <w:rsid w:val="003C5A77"/>
    <w:rsid w:val="003D37D8"/>
    <w:rsid w:val="003D5E90"/>
    <w:rsid w:val="004130DE"/>
    <w:rsid w:val="00426133"/>
    <w:rsid w:val="0043079D"/>
    <w:rsid w:val="00430D6F"/>
    <w:rsid w:val="004352F7"/>
    <w:rsid w:val="004358AB"/>
    <w:rsid w:val="004361E5"/>
    <w:rsid w:val="004460B5"/>
    <w:rsid w:val="00460A87"/>
    <w:rsid w:val="00461EF6"/>
    <w:rsid w:val="004926CB"/>
    <w:rsid w:val="0049718D"/>
    <w:rsid w:val="004B0949"/>
    <w:rsid w:val="004B3C61"/>
    <w:rsid w:val="004B4B8F"/>
    <w:rsid w:val="004C5204"/>
    <w:rsid w:val="004E3F19"/>
    <w:rsid w:val="00514156"/>
    <w:rsid w:val="00526D4B"/>
    <w:rsid w:val="00540E8D"/>
    <w:rsid w:val="005444A7"/>
    <w:rsid w:val="00557B2D"/>
    <w:rsid w:val="00587AB5"/>
    <w:rsid w:val="005B318D"/>
    <w:rsid w:val="005B3552"/>
    <w:rsid w:val="005C5976"/>
    <w:rsid w:val="005D4062"/>
    <w:rsid w:val="005D68C7"/>
    <w:rsid w:val="005E2FB5"/>
    <w:rsid w:val="006059F7"/>
    <w:rsid w:val="006128F3"/>
    <w:rsid w:val="00614B11"/>
    <w:rsid w:val="00626F97"/>
    <w:rsid w:val="0063752B"/>
    <w:rsid w:val="00641BFF"/>
    <w:rsid w:val="00643B21"/>
    <w:rsid w:val="00647CB5"/>
    <w:rsid w:val="00657D49"/>
    <w:rsid w:val="006652B3"/>
    <w:rsid w:val="006737B8"/>
    <w:rsid w:val="00691454"/>
    <w:rsid w:val="00695A25"/>
    <w:rsid w:val="0069719E"/>
    <w:rsid w:val="006A42AC"/>
    <w:rsid w:val="006A5BA6"/>
    <w:rsid w:val="006A7E11"/>
    <w:rsid w:val="006E2261"/>
    <w:rsid w:val="006E71A4"/>
    <w:rsid w:val="0070048A"/>
    <w:rsid w:val="00703BF5"/>
    <w:rsid w:val="007124B8"/>
    <w:rsid w:val="00723ABD"/>
    <w:rsid w:val="00735281"/>
    <w:rsid w:val="007527A5"/>
    <w:rsid w:val="0075296A"/>
    <w:rsid w:val="00762480"/>
    <w:rsid w:val="0077244C"/>
    <w:rsid w:val="0078494F"/>
    <w:rsid w:val="00793767"/>
    <w:rsid w:val="007972D9"/>
    <w:rsid w:val="007A5FA4"/>
    <w:rsid w:val="007B7586"/>
    <w:rsid w:val="007C2BB8"/>
    <w:rsid w:val="007C7891"/>
    <w:rsid w:val="007D1A9A"/>
    <w:rsid w:val="007D1D16"/>
    <w:rsid w:val="007E1052"/>
    <w:rsid w:val="007E2896"/>
    <w:rsid w:val="007F024C"/>
    <w:rsid w:val="007F4460"/>
    <w:rsid w:val="00807541"/>
    <w:rsid w:val="008143B7"/>
    <w:rsid w:val="008149E8"/>
    <w:rsid w:val="00816157"/>
    <w:rsid w:val="0084041C"/>
    <w:rsid w:val="00863EBB"/>
    <w:rsid w:val="00865DC2"/>
    <w:rsid w:val="00887823"/>
    <w:rsid w:val="00887E60"/>
    <w:rsid w:val="008A673C"/>
    <w:rsid w:val="008B7726"/>
    <w:rsid w:val="008D70D5"/>
    <w:rsid w:val="009010FC"/>
    <w:rsid w:val="00950266"/>
    <w:rsid w:val="00956133"/>
    <w:rsid w:val="0096102B"/>
    <w:rsid w:val="00963A77"/>
    <w:rsid w:val="00981CC5"/>
    <w:rsid w:val="009822DC"/>
    <w:rsid w:val="00986006"/>
    <w:rsid w:val="00992C2C"/>
    <w:rsid w:val="009E0D2C"/>
    <w:rsid w:val="009E6DDF"/>
    <w:rsid w:val="00A05002"/>
    <w:rsid w:val="00A062EB"/>
    <w:rsid w:val="00A17B8C"/>
    <w:rsid w:val="00A271DD"/>
    <w:rsid w:val="00A71BF5"/>
    <w:rsid w:val="00AB78AB"/>
    <w:rsid w:val="00AC2AC2"/>
    <w:rsid w:val="00AC2E4B"/>
    <w:rsid w:val="00AD4261"/>
    <w:rsid w:val="00AE2F14"/>
    <w:rsid w:val="00AF00EF"/>
    <w:rsid w:val="00AF1E58"/>
    <w:rsid w:val="00AF544D"/>
    <w:rsid w:val="00AF6E18"/>
    <w:rsid w:val="00B000F5"/>
    <w:rsid w:val="00B008C5"/>
    <w:rsid w:val="00B01C93"/>
    <w:rsid w:val="00B2464E"/>
    <w:rsid w:val="00B25907"/>
    <w:rsid w:val="00B37682"/>
    <w:rsid w:val="00B51202"/>
    <w:rsid w:val="00B53F82"/>
    <w:rsid w:val="00B5448E"/>
    <w:rsid w:val="00B57F5B"/>
    <w:rsid w:val="00B623AF"/>
    <w:rsid w:val="00B62AD1"/>
    <w:rsid w:val="00B64C7B"/>
    <w:rsid w:val="00B65764"/>
    <w:rsid w:val="00B805CF"/>
    <w:rsid w:val="00B8585F"/>
    <w:rsid w:val="00BA0522"/>
    <w:rsid w:val="00BA6878"/>
    <w:rsid w:val="00BD1473"/>
    <w:rsid w:val="00C0092C"/>
    <w:rsid w:val="00C053FD"/>
    <w:rsid w:val="00C15F3A"/>
    <w:rsid w:val="00C21020"/>
    <w:rsid w:val="00C2105E"/>
    <w:rsid w:val="00C22397"/>
    <w:rsid w:val="00C230EB"/>
    <w:rsid w:val="00C30722"/>
    <w:rsid w:val="00C464A8"/>
    <w:rsid w:val="00C47A82"/>
    <w:rsid w:val="00C512F1"/>
    <w:rsid w:val="00C621A8"/>
    <w:rsid w:val="00C631F3"/>
    <w:rsid w:val="00C80BF1"/>
    <w:rsid w:val="00C8477F"/>
    <w:rsid w:val="00C86163"/>
    <w:rsid w:val="00CA0AFA"/>
    <w:rsid w:val="00CA16E5"/>
    <w:rsid w:val="00CA24A3"/>
    <w:rsid w:val="00CB0DCF"/>
    <w:rsid w:val="00CE1718"/>
    <w:rsid w:val="00CE37C1"/>
    <w:rsid w:val="00CF5549"/>
    <w:rsid w:val="00D27F75"/>
    <w:rsid w:val="00D31D50"/>
    <w:rsid w:val="00D33353"/>
    <w:rsid w:val="00D40B79"/>
    <w:rsid w:val="00D50884"/>
    <w:rsid w:val="00D84A75"/>
    <w:rsid w:val="00D91158"/>
    <w:rsid w:val="00D91473"/>
    <w:rsid w:val="00D939A1"/>
    <w:rsid w:val="00D97C2E"/>
    <w:rsid w:val="00DA1BEB"/>
    <w:rsid w:val="00DA56EC"/>
    <w:rsid w:val="00DE457C"/>
    <w:rsid w:val="00DF1D67"/>
    <w:rsid w:val="00DF441C"/>
    <w:rsid w:val="00E114BF"/>
    <w:rsid w:val="00E216DF"/>
    <w:rsid w:val="00E342E1"/>
    <w:rsid w:val="00E40E97"/>
    <w:rsid w:val="00E44E59"/>
    <w:rsid w:val="00E4621D"/>
    <w:rsid w:val="00E53606"/>
    <w:rsid w:val="00E61162"/>
    <w:rsid w:val="00E7597F"/>
    <w:rsid w:val="00E84208"/>
    <w:rsid w:val="00E96657"/>
    <w:rsid w:val="00ED00B7"/>
    <w:rsid w:val="00ED6E04"/>
    <w:rsid w:val="00F03E17"/>
    <w:rsid w:val="00F07769"/>
    <w:rsid w:val="00F11B8E"/>
    <w:rsid w:val="00F23BD2"/>
    <w:rsid w:val="00F6269E"/>
    <w:rsid w:val="00F9725D"/>
    <w:rsid w:val="00FC63FA"/>
    <w:rsid w:val="00FD75D1"/>
    <w:rsid w:val="00FE54CE"/>
    <w:rsid w:val="00FF5737"/>
    <w:rsid w:val="00FF5A8D"/>
    <w:rsid w:val="01674F26"/>
    <w:rsid w:val="028C5C63"/>
    <w:rsid w:val="03EB2758"/>
    <w:rsid w:val="06F2732F"/>
    <w:rsid w:val="0789398A"/>
    <w:rsid w:val="07FA043F"/>
    <w:rsid w:val="08212CBA"/>
    <w:rsid w:val="0ABA0A93"/>
    <w:rsid w:val="0B3C3517"/>
    <w:rsid w:val="0E95126B"/>
    <w:rsid w:val="106D5146"/>
    <w:rsid w:val="11726946"/>
    <w:rsid w:val="11AC1DE0"/>
    <w:rsid w:val="11E76A03"/>
    <w:rsid w:val="14057D64"/>
    <w:rsid w:val="18C10E2A"/>
    <w:rsid w:val="1A4800AC"/>
    <w:rsid w:val="1B8B0EB1"/>
    <w:rsid w:val="1B9B7AC2"/>
    <w:rsid w:val="1E83FE67"/>
    <w:rsid w:val="1EAC5BD4"/>
    <w:rsid w:val="21382347"/>
    <w:rsid w:val="22AF59E5"/>
    <w:rsid w:val="235908EA"/>
    <w:rsid w:val="267642F0"/>
    <w:rsid w:val="2973014C"/>
    <w:rsid w:val="2B2F9406"/>
    <w:rsid w:val="2DAA1148"/>
    <w:rsid w:val="3590236C"/>
    <w:rsid w:val="3BAA2F48"/>
    <w:rsid w:val="3D335F70"/>
    <w:rsid w:val="3F67A47D"/>
    <w:rsid w:val="3F7182A9"/>
    <w:rsid w:val="443632B9"/>
    <w:rsid w:val="45A2232B"/>
    <w:rsid w:val="465B4EA6"/>
    <w:rsid w:val="4A29350D"/>
    <w:rsid w:val="520F4CAB"/>
    <w:rsid w:val="55B55ED8"/>
    <w:rsid w:val="57631E0C"/>
    <w:rsid w:val="58CD1F55"/>
    <w:rsid w:val="5AB3728B"/>
    <w:rsid w:val="5CF449DE"/>
    <w:rsid w:val="5F1963C9"/>
    <w:rsid w:val="5F2B07FF"/>
    <w:rsid w:val="5FF92884"/>
    <w:rsid w:val="60D7442F"/>
    <w:rsid w:val="61713488"/>
    <w:rsid w:val="66977958"/>
    <w:rsid w:val="6EB7766A"/>
    <w:rsid w:val="6FCF39DA"/>
    <w:rsid w:val="747EFBBD"/>
    <w:rsid w:val="777FD697"/>
    <w:rsid w:val="78855B84"/>
    <w:rsid w:val="78EA3B0D"/>
    <w:rsid w:val="79EE5629"/>
    <w:rsid w:val="7B3E685F"/>
    <w:rsid w:val="7B6F2E21"/>
    <w:rsid w:val="7D725548"/>
    <w:rsid w:val="7DC123C0"/>
    <w:rsid w:val="7EDBAA35"/>
    <w:rsid w:val="7FD927A6"/>
    <w:rsid w:val="7FF2698A"/>
    <w:rsid w:val="7FFFB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4DC33C"/>
  <w15:docId w15:val="{E706C39D-A530-4D48-97C8-DC2A5880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adjustRightInd/>
      <w:snapToGrid/>
      <w:spacing w:after="0"/>
    </w:pPr>
    <w:rPr>
      <w:rFonts w:ascii="Arial" w:eastAsia="Arial" w:hAnsi="Arial" w:cs="Arial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unhideWhenUsed/>
    <w:qFormat/>
    <w:pPr>
      <w:spacing w:after="0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tgt">
    <w:name w:val="_tgt"/>
    <w:basedOn w:val="a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transsent">
    <w:name w:val="transsent"/>
    <w:basedOn w:val="a0"/>
    <w:qFormat/>
  </w:style>
  <w:style w:type="character" w:customStyle="1" w:styleId="ac">
    <w:name w:val="页眉 字符"/>
    <w:basedOn w:val="a0"/>
    <w:link w:val="ab"/>
    <w:uiPriority w:val="99"/>
    <w:semiHidden/>
    <w:qFormat/>
    <w:rPr>
      <w:rFonts w:ascii="Tahoma" w:hAnsi="Tahoma"/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qFormat/>
    <w:rPr>
      <w:rFonts w:ascii="Tahoma" w:hAnsi="Tahoma"/>
      <w:sz w:val="18"/>
      <w:szCs w:val="18"/>
    </w:rPr>
  </w:style>
  <w:style w:type="character" w:customStyle="1" w:styleId="fontstyle01">
    <w:name w:val="fontstyle01"/>
    <w:basedOn w:val="a0"/>
    <w:qFormat/>
    <w:rPr>
      <w:rFonts w:ascii="FrutigerLTStd-Light" w:hAnsi="FrutigerLTStd-Light" w:hint="default"/>
      <w:color w:val="242021"/>
      <w:sz w:val="20"/>
      <w:szCs w:val="20"/>
    </w:rPr>
  </w:style>
  <w:style w:type="character" w:customStyle="1" w:styleId="a6">
    <w:name w:val="正文文本 字符"/>
    <w:basedOn w:val="a0"/>
    <w:link w:val="a5"/>
    <w:uiPriority w:val="1"/>
    <w:qFormat/>
    <w:rPr>
      <w:rFonts w:ascii="Arial" w:eastAsia="Arial" w:hAnsi="Arial" w:cs="Arial"/>
      <w:sz w:val="20"/>
      <w:szCs w:val="20"/>
      <w:lang w:eastAsia="en-US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rFonts w:eastAsiaTheme="minorEastAsia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adjustRightInd/>
      <w:snapToGrid/>
      <w:spacing w:before="56" w:after="0"/>
      <w:ind w:left="348"/>
    </w:pPr>
    <w:rPr>
      <w:rFonts w:ascii="Arial" w:eastAsia="Arial" w:hAnsi="Arial" w:cs="Arial"/>
      <w:lang w:eastAsia="en-US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ahoma" w:hAnsi="Tahoma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ahoma" w:hAnsi="Tahoma"/>
      <w:sz w:val="22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Tahoma" w:hAnsi="Tahoma"/>
      <w:b/>
      <w:bCs/>
      <w:sz w:val="22"/>
      <w:szCs w:val="22"/>
    </w:rPr>
  </w:style>
  <w:style w:type="character" w:customStyle="1" w:styleId="fontstyle21">
    <w:name w:val="fontstyle21"/>
    <w:basedOn w:val="a0"/>
    <w:qFormat/>
    <w:rPr>
      <w:rFonts w:ascii="FrutigerLTStd-LightItalic" w:hAnsi="FrutigerLTStd-LightItalic" w:hint="default"/>
      <w:i/>
      <w:iCs/>
      <w:color w:val="242021"/>
      <w:sz w:val="20"/>
      <w:szCs w:val="20"/>
    </w:rPr>
  </w:style>
  <w:style w:type="paragraph" w:customStyle="1" w:styleId="1">
    <w:name w:val="修订1"/>
    <w:hidden/>
    <w:uiPriority w:val="99"/>
    <w:semiHidden/>
    <w:qFormat/>
    <w:rPr>
      <w:rFonts w:ascii="Tahoma" w:eastAsia="微软雅黑" w:hAnsi="Tahoma" w:cstheme="minorBidi"/>
      <w:sz w:val="22"/>
      <w:szCs w:val="22"/>
    </w:rPr>
  </w:style>
  <w:style w:type="character" w:customStyle="1" w:styleId="tgt0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881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 荣华</cp:lastModifiedBy>
  <cp:revision>96</cp:revision>
  <dcterms:created xsi:type="dcterms:W3CDTF">2021-05-22T06:48:00Z</dcterms:created>
  <dcterms:modified xsi:type="dcterms:W3CDTF">2021-06-25T16:08:00Z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F9974E3A314645759B61A0FB4452BD50</vt:lpwstr>
  </property>
</Properties>
</file>