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7A02" w14:textId="68701DD1" w:rsidR="00F36A21" w:rsidRDefault="00F85BAD" w:rsidP="00AC3741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院外</w:t>
      </w:r>
      <w:r w:rsidR="00AC3741">
        <w:rPr>
          <w:rFonts w:ascii="宋体" w:eastAsia="宋体" w:hAnsi="宋体" w:cs="宋体" w:hint="eastAsia"/>
          <w:b/>
          <w:bCs/>
          <w:sz w:val="30"/>
          <w:szCs w:val="30"/>
        </w:rPr>
        <w:t>心脏骤停</w:t>
      </w:r>
      <w:r w:rsidR="006D023B">
        <w:rPr>
          <w:rFonts w:ascii="宋体" w:eastAsia="宋体" w:hAnsi="宋体" w:cs="宋体" w:hint="eastAsia"/>
          <w:b/>
          <w:bCs/>
          <w:sz w:val="30"/>
          <w:szCs w:val="30"/>
        </w:rPr>
        <w:t>E</w:t>
      </w:r>
      <w:r w:rsidR="006D023B">
        <w:rPr>
          <w:rFonts w:ascii="宋体" w:eastAsia="宋体" w:hAnsi="宋体" w:cs="宋体"/>
          <w:b/>
          <w:bCs/>
          <w:sz w:val="30"/>
          <w:szCs w:val="30"/>
        </w:rPr>
        <w:t>CPR</w:t>
      </w:r>
      <w:r w:rsidR="006D023B">
        <w:rPr>
          <w:rFonts w:ascii="宋体" w:eastAsia="宋体" w:hAnsi="宋体" w:cs="宋体" w:hint="eastAsia"/>
          <w:b/>
          <w:bCs/>
          <w:sz w:val="30"/>
          <w:szCs w:val="30"/>
        </w:rPr>
        <w:t>治疗</w:t>
      </w:r>
      <w:r w:rsidR="00AC3741">
        <w:rPr>
          <w:rFonts w:ascii="宋体" w:eastAsia="宋体" w:hAnsi="宋体" w:cs="宋体" w:hint="eastAsia"/>
          <w:b/>
          <w:bCs/>
          <w:sz w:val="30"/>
          <w:szCs w:val="30"/>
        </w:rPr>
        <w:t>患者</w:t>
      </w:r>
      <w:r w:rsidR="00AC06B3">
        <w:rPr>
          <w:rFonts w:ascii="宋体" w:eastAsia="宋体" w:hAnsi="宋体" w:cs="宋体" w:hint="eastAsia"/>
          <w:b/>
          <w:bCs/>
          <w:sz w:val="30"/>
          <w:szCs w:val="30"/>
        </w:rPr>
        <w:t>神经功能</w:t>
      </w:r>
      <w:r w:rsidR="00E501A0">
        <w:rPr>
          <w:rFonts w:ascii="宋体" w:eastAsia="宋体" w:hAnsi="宋体" w:cs="宋体" w:hint="eastAsia"/>
          <w:b/>
          <w:bCs/>
          <w:sz w:val="30"/>
          <w:szCs w:val="30"/>
        </w:rPr>
        <w:t>结果</w:t>
      </w:r>
      <w:r w:rsidR="00AC3741">
        <w:rPr>
          <w:rFonts w:ascii="宋体" w:eastAsia="宋体" w:hAnsi="宋体" w:cs="宋体" w:hint="eastAsia"/>
          <w:b/>
          <w:bCs/>
          <w:sz w:val="30"/>
          <w:szCs w:val="30"/>
        </w:rPr>
        <w:t>预测</w:t>
      </w:r>
    </w:p>
    <w:p w14:paraId="3DFC5533" w14:textId="7F594273" w:rsidR="00F36A21" w:rsidRDefault="00F85BAD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临床评分系统</w:t>
      </w:r>
      <w:r w:rsidR="00E501A0">
        <w:rPr>
          <w:rFonts w:ascii="宋体" w:eastAsia="宋体" w:hAnsi="宋体" w:cs="宋体" w:hint="eastAsia"/>
          <w:b/>
          <w:bCs/>
          <w:sz w:val="30"/>
          <w:szCs w:val="30"/>
        </w:rPr>
        <w:t>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开发和验证</w:t>
      </w:r>
    </w:p>
    <w:p w14:paraId="1902A2D5" w14:textId="77777777" w:rsidR="004E2552" w:rsidRDefault="004E2552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14:paraId="145D6164" w14:textId="3F044B1A" w:rsidR="00F36A21" w:rsidRDefault="00F85BAD" w:rsidP="00F85BA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翻译：蒋璇</w:t>
      </w:r>
      <w:r w:rsidR="002024D9">
        <w:rPr>
          <w:rFonts w:ascii="宋体" w:eastAsia="宋体" w:hAnsi="宋体" w:cs="宋体" w:hint="eastAsia"/>
          <w:sz w:val="24"/>
        </w:rPr>
        <w:t xml:space="preserve"> </w:t>
      </w:r>
      <w:r w:rsidR="002024D9">
        <w:rPr>
          <w:rFonts w:ascii="宋体" w:eastAsia="宋体" w:hAnsi="宋体" w:cs="宋体"/>
          <w:sz w:val="24"/>
        </w:rPr>
        <w:t xml:space="preserve"> </w:t>
      </w:r>
      <w:r w:rsidR="002024D9" w:rsidRPr="002024D9">
        <w:rPr>
          <w:rFonts w:ascii="宋体" w:eastAsia="宋体" w:hAnsi="宋体" w:cs="宋体" w:hint="eastAsia"/>
          <w:sz w:val="24"/>
        </w:rPr>
        <w:t>中国医科大学附属第一医院</w:t>
      </w:r>
    </w:p>
    <w:p w14:paraId="5D6E0754" w14:textId="1E5721E7" w:rsidR="00F85BAD" w:rsidRDefault="00F85BAD" w:rsidP="00F85BA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审校：沈佳 上海儿童医学中心</w:t>
      </w:r>
    </w:p>
    <w:p w14:paraId="17159082" w14:textId="77777777" w:rsidR="00E501A0" w:rsidRDefault="00E501A0" w:rsidP="00F85BAD">
      <w:pPr>
        <w:spacing w:line="360" w:lineRule="auto"/>
        <w:rPr>
          <w:rFonts w:ascii="宋体" w:eastAsia="宋体" w:hAnsi="宋体" w:cs="宋体"/>
          <w:sz w:val="24"/>
        </w:rPr>
      </w:pPr>
    </w:p>
    <w:p w14:paraId="611BFEBA" w14:textId="77777777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摘要</w:t>
      </w:r>
    </w:p>
    <w:p w14:paraId="0A07FDEA" w14:textId="26EA0ED2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重要性：</w:t>
      </w:r>
      <w:r>
        <w:rPr>
          <w:rFonts w:ascii="宋体" w:eastAsia="宋体" w:hAnsi="宋体" w:cs="宋体" w:hint="eastAsia"/>
          <w:sz w:val="24"/>
        </w:rPr>
        <w:t>体外心肺复苏治疗( Extracorporeal cardiopulmonary resuscitation, ECPR) 有望改善难治性心脏骤停患者的神经</w:t>
      </w:r>
      <w:r w:rsidR="009B3F2E">
        <w:rPr>
          <w:rFonts w:ascii="宋体" w:eastAsia="宋体" w:hAnsi="宋体" w:cs="宋体" w:hint="eastAsia"/>
          <w:sz w:val="24"/>
        </w:rPr>
        <w:t>功能结</w:t>
      </w:r>
      <w:r>
        <w:rPr>
          <w:rFonts w:ascii="宋体" w:eastAsia="宋体" w:hAnsi="宋体" w:cs="宋体" w:hint="eastAsia"/>
          <w:sz w:val="24"/>
        </w:rPr>
        <w:t>果；然而，该治疗是侵入性的，价格昂贵，需要大量的人力。预测心脏骤停患者的神经</w:t>
      </w:r>
      <w:r w:rsidR="001B5286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结果将有助于选择合适的患者进行 ECPR治疗。</w:t>
      </w:r>
    </w:p>
    <w:p w14:paraId="6FA4B366" w14:textId="0B819A77" w:rsidR="00F36A21" w:rsidRDefault="00F85BAD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目的：</w:t>
      </w:r>
      <w:r>
        <w:rPr>
          <w:rFonts w:ascii="宋体" w:eastAsia="宋体" w:hAnsi="宋体" w:cs="宋体" w:hint="eastAsia"/>
          <w:sz w:val="24"/>
        </w:rPr>
        <w:t>开发和验证心脏骤停患者神经</w:t>
      </w:r>
      <w:r w:rsidR="001B5286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结果的预测模型，以应用于 ECPR 治疗电复律的院外心脏骤停患者。</w:t>
      </w:r>
    </w:p>
    <w:p w14:paraId="1C835581" w14:textId="74DBBABE" w:rsidR="00F36A21" w:rsidRDefault="0015265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研究</w:t>
      </w:r>
      <w:r w:rsidR="00F85BAD">
        <w:rPr>
          <w:rFonts w:ascii="宋体" w:eastAsia="宋体" w:hAnsi="宋体" w:cs="宋体" w:hint="eastAsia"/>
          <w:b/>
          <w:bCs/>
          <w:sz w:val="24"/>
        </w:rPr>
        <w:t>设计、</w:t>
      </w:r>
      <w:r>
        <w:rPr>
          <w:rFonts w:ascii="宋体" w:eastAsia="宋体" w:hAnsi="宋体" w:cs="宋体" w:hint="eastAsia"/>
          <w:b/>
          <w:bCs/>
          <w:sz w:val="24"/>
        </w:rPr>
        <w:t>现场</w:t>
      </w:r>
      <w:r w:rsidR="00F85BAD">
        <w:rPr>
          <w:rFonts w:ascii="宋体" w:eastAsia="宋体" w:hAnsi="宋体" w:cs="宋体" w:hint="eastAsia"/>
          <w:b/>
          <w:bCs/>
          <w:sz w:val="24"/>
        </w:rPr>
        <w:t>和</w:t>
      </w:r>
      <w:r>
        <w:rPr>
          <w:rFonts w:ascii="宋体" w:eastAsia="宋体" w:hAnsi="宋体" w:cs="宋体" w:hint="eastAsia"/>
          <w:b/>
          <w:bCs/>
          <w:sz w:val="24"/>
        </w:rPr>
        <w:t>研究对象</w:t>
      </w:r>
      <w:r w:rsidR="00F85BAD">
        <w:rPr>
          <w:rFonts w:ascii="宋体" w:eastAsia="宋体" w:hAnsi="宋体" w:cs="宋体" w:hint="eastAsia"/>
          <w:b/>
          <w:bCs/>
          <w:sz w:val="24"/>
        </w:rPr>
        <w:t>：</w:t>
      </w:r>
      <w:r w:rsidR="00F85BAD">
        <w:rPr>
          <w:rFonts w:ascii="宋体" w:eastAsia="宋体" w:hAnsi="宋体" w:cs="宋体" w:hint="eastAsia"/>
          <w:sz w:val="24"/>
        </w:rPr>
        <w:t>这项预后研究分析了日本急</w:t>
      </w:r>
      <w:r w:rsidR="00AB232E">
        <w:rPr>
          <w:rFonts w:ascii="宋体" w:eastAsia="宋体" w:hAnsi="宋体" w:cs="宋体" w:hint="eastAsia"/>
          <w:sz w:val="24"/>
        </w:rPr>
        <w:t>救</w:t>
      </w:r>
      <w:r w:rsidR="00F85BAD">
        <w:rPr>
          <w:rFonts w:ascii="宋体" w:eastAsia="宋体" w:hAnsi="宋体" w:cs="宋体" w:hint="eastAsia"/>
          <w:sz w:val="24"/>
        </w:rPr>
        <w:t xml:space="preserve">医学会院外心脏骤停登记处数据库的所有数据，包括日本 87 </w:t>
      </w:r>
      <w:proofErr w:type="gramStart"/>
      <w:r w:rsidR="00F85BAD">
        <w:rPr>
          <w:rFonts w:ascii="宋体" w:eastAsia="宋体" w:hAnsi="宋体" w:cs="宋体" w:hint="eastAsia"/>
          <w:sz w:val="24"/>
        </w:rPr>
        <w:t>个</w:t>
      </w:r>
      <w:proofErr w:type="gramEnd"/>
      <w:r w:rsidR="00F85BAD">
        <w:rPr>
          <w:rFonts w:ascii="宋体" w:eastAsia="宋体" w:hAnsi="宋体" w:cs="宋体" w:hint="eastAsia"/>
          <w:sz w:val="24"/>
        </w:rPr>
        <w:t>急诊科的多机构全国队列研究。 纳入 2014 年 6 月至 2017 年 12 月期间接受 ECPR 治疗的所有院外心脏骤停和电复律的成</w:t>
      </w:r>
      <w:r w:rsidR="001C2167">
        <w:rPr>
          <w:rFonts w:ascii="宋体" w:eastAsia="宋体" w:hAnsi="宋体" w:cs="宋体" w:hint="eastAsia"/>
          <w:sz w:val="24"/>
        </w:rPr>
        <w:t>人</w:t>
      </w:r>
      <w:r w:rsidR="00F85BAD">
        <w:rPr>
          <w:rFonts w:ascii="宋体" w:eastAsia="宋体" w:hAnsi="宋体" w:cs="宋体" w:hint="eastAsia"/>
          <w:sz w:val="24"/>
        </w:rPr>
        <w:t>患者。患者随机分配到基于机构的开发和验证队列。分析是在 2019 年 11 月至2020 年 8 月之间进行的。</w:t>
      </w:r>
    </w:p>
    <w:p w14:paraId="7573FCAB" w14:textId="1A1F6570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暴露值：</w:t>
      </w:r>
      <w:r>
        <w:rPr>
          <w:rFonts w:ascii="宋体" w:eastAsia="宋体" w:hAnsi="宋体" w:cs="宋体" w:hint="eastAsia"/>
          <w:sz w:val="24"/>
        </w:rPr>
        <w:t>年龄（&lt;65 岁）、从打电话到抵达医院的时间（25 分钟）、抵达医院时的初始心律（可电复律）和初始 pH 值（≥7.0）。</w:t>
      </w:r>
    </w:p>
    <w:p w14:paraId="7DB11EE8" w14:textId="13713F13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主要结</w:t>
      </w:r>
      <w:r w:rsidR="009B3F2E">
        <w:rPr>
          <w:rFonts w:ascii="宋体" w:eastAsia="宋体" w:hAnsi="宋体" w:cs="宋体" w:hint="eastAsia"/>
          <w:b/>
          <w:bCs/>
          <w:sz w:val="24"/>
        </w:rPr>
        <w:t>局指标</w:t>
      </w:r>
      <w:r>
        <w:rPr>
          <w:rFonts w:ascii="宋体" w:eastAsia="宋体" w:hAnsi="宋体" w:cs="宋体" w:hint="eastAsia"/>
          <w:b/>
          <w:bCs/>
          <w:sz w:val="24"/>
        </w:rPr>
        <w:t xml:space="preserve">和测量： </w:t>
      </w:r>
      <w:r>
        <w:rPr>
          <w:rFonts w:ascii="宋体" w:eastAsia="宋体" w:hAnsi="宋体" w:cs="宋体" w:hint="eastAsia"/>
          <w:sz w:val="24"/>
        </w:rPr>
        <w:t>主要结</w:t>
      </w:r>
      <w:r w:rsidR="006D56C5">
        <w:rPr>
          <w:rFonts w:ascii="宋体" w:eastAsia="宋体" w:hAnsi="宋体" w:cs="宋体" w:hint="eastAsia"/>
          <w:b/>
          <w:bCs/>
          <w:sz w:val="24"/>
        </w:rPr>
        <w:t>局指标</w:t>
      </w:r>
      <w:r>
        <w:rPr>
          <w:rFonts w:ascii="宋体" w:eastAsia="宋体" w:hAnsi="宋体" w:cs="宋体" w:hint="eastAsia"/>
          <w:sz w:val="24"/>
        </w:rPr>
        <w:t xml:space="preserve">是 1 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月生存率并伴有良好的神经</w:t>
      </w:r>
      <w:r w:rsidR="006D56C5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结果，定义为大脑表现类别 1 或 2。在</w:t>
      </w:r>
      <w:r w:rsidR="00F43E51">
        <w:rPr>
          <w:rFonts w:ascii="宋体" w:eastAsia="宋体" w:hAnsi="宋体" w:cs="宋体" w:hint="eastAsia"/>
          <w:sz w:val="24"/>
        </w:rPr>
        <w:t>开</w:t>
      </w:r>
      <w:r>
        <w:rPr>
          <w:rFonts w:ascii="宋体" w:eastAsia="宋体" w:hAnsi="宋体" w:cs="宋体" w:hint="eastAsia"/>
          <w:sz w:val="24"/>
        </w:rPr>
        <w:t>发队列中，开发了一个简单的评分系统</w:t>
      </w:r>
      <w:r w:rsidR="00972AEC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使用逻辑回归模型预测该神经</w:t>
      </w:r>
      <w:r w:rsidR="00336EF5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结果。在验证队列中</w:t>
      </w:r>
      <w:r w:rsidR="00F43E51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评估该评分系统的诊断能力和校准能力。</w:t>
      </w:r>
    </w:p>
    <w:p w14:paraId="0EFBB4FA" w14:textId="08260786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结果：</w:t>
      </w:r>
      <w:r>
        <w:rPr>
          <w:rFonts w:ascii="宋体" w:eastAsia="宋体" w:hAnsi="宋体" w:cs="宋体" w:hint="eastAsia"/>
          <w:sz w:val="24"/>
        </w:rPr>
        <w:t xml:space="preserve"> 研究共纳入 916 名患者，其中 458 名在发展队列（中位 [</w:t>
      </w:r>
      <w:proofErr w:type="gramStart"/>
      <w:r>
        <w:rPr>
          <w:rFonts w:ascii="宋体" w:eastAsia="宋体" w:hAnsi="宋体" w:cs="宋体" w:hint="eastAsia"/>
          <w:sz w:val="24"/>
        </w:rPr>
        <w:t>四分位距</w:t>
      </w:r>
      <w:proofErr w:type="gramEnd"/>
      <w:r>
        <w:rPr>
          <w:rFonts w:ascii="宋体" w:eastAsia="宋体" w:hAnsi="宋体" w:cs="宋体" w:hint="eastAsia"/>
          <w:sz w:val="24"/>
        </w:rPr>
        <w:t xml:space="preserve"> {interquartile range， IQR}] 年龄，61 [47-69] 岁</w:t>
      </w:r>
      <w:r w:rsidR="00863ECC"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t>377 [82.3%] 名男性）</w:t>
      </w:r>
      <w:r w:rsidR="00863ECC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458 名在验证队列（中位 [IQR] </w:t>
      </w:r>
      <w:r w:rsidR="00863ECC">
        <w:rPr>
          <w:rFonts w:ascii="宋体" w:eastAsia="宋体" w:hAnsi="宋体" w:cs="宋体" w:hint="eastAsia"/>
          <w:sz w:val="24"/>
        </w:rPr>
        <w:t>年龄</w:t>
      </w:r>
      <w:r>
        <w:rPr>
          <w:rFonts w:ascii="宋体" w:eastAsia="宋体" w:hAnsi="宋体" w:cs="宋体" w:hint="eastAsia"/>
          <w:sz w:val="24"/>
        </w:rPr>
        <w:t>，60 [49-68] 岁；393 [85.8%] 男性）。这些队列具有相同比例的良好的神经</w:t>
      </w:r>
      <w:r w:rsidR="00336EF5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结果（57 名患者 [12.4%]）。开发的预</w:t>
      </w:r>
      <w:r>
        <w:rPr>
          <w:rFonts w:ascii="宋体" w:eastAsia="宋体" w:hAnsi="宋体" w:cs="宋体" w:hint="eastAsia"/>
          <w:sz w:val="24"/>
        </w:rPr>
        <w:lastRenderedPageBreak/>
        <w:t>测评分系统中，每个临床预测因子的得分为1。根据患者在预测模型上的得分分为4组，具体如下：极低概率（得分0）、低概率（得分1）、中等概率（得分2）和高概率（得分3-4）的良好神经</w:t>
      </w:r>
      <w:r w:rsidR="00336EF5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预后。按分数分层的组中的平均预测概率如下：非常低，1.6%（95% CI，1.6%-1.6%）；低，4.4%（95% CI，4.2%-4.6%）；中等，12.5%（95% CI，12.1%-12.8%）；高，30.8%（95% CI，29.1%-32.5%）。在验证队列中，评分系统的 C 统计量为 0.724（95% CI，0.652-0.786）。通过对校准图的目视评估，对预测的概率进行了评估，并针对两个队列中观察到的有利结果进行了校准。</w:t>
      </w:r>
    </w:p>
    <w:p w14:paraId="695A96B0" w14:textId="6625822F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结论和相关性： </w:t>
      </w:r>
      <w:r>
        <w:rPr>
          <w:rFonts w:ascii="宋体" w:eastAsia="宋体" w:hAnsi="宋体" w:cs="宋体" w:hint="eastAsia"/>
          <w:sz w:val="24"/>
        </w:rPr>
        <w:t>在这项研究中，开发的评分系统具有良好的区分性和校准性能，可以预测接受ECPR治疗的院外心脏骤停和</w:t>
      </w:r>
      <w:r w:rsidR="00336EF5">
        <w:rPr>
          <w:rFonts w:ascii="宋体" w:eastAsia="宋体" w:hAnsi="宋体" w:cs="宋体" w:hint="eastAsia"/>
          <w:sz w:val="24"/>
        </w:rPr>
        <w:t>电复</w:t>
      </w:r>
      <w:proofErr w:type="gramStart"/>
      <w:r>
        <w:rPr>
          <w:rFonts w:ascii="宋体" w:eastAsia="宋体" w:hAnsi="宋体" w:cs="宋体" w:hint="eastAsia"/>
          <w:sz w:val="24"/>
        </w:rPr>
        <w:t>律患者</w:t>
      </w:r>
      <w:proofErr w:type="gramEnd"/>
      <w:r>
        <w:rPr>
          <w:rFonts w:ascii="宋体" w:eastAsia="宋体" w:hAnsi="宋体" w:cs="宋体" w:hint="eastAsia"/>
          <w:sz w:val="24"/>
        </w:rPr>
        <w:t>的神经</w:t>
      </w:r>
      <w:r w:rsidR="00336EF5"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预后良好与否。</w:t>
      </w:r>
    </w:p>
    <w:p w14:paraId="3CF92226" w14:textId="77777777" w:rsidR="001B5286" w:rsidRDefault="001B5286" w:rsidP="001B5286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15359A0F" w14:textId="62D10DC4" w:rsidR="001B5286" w:rsidRDefault="00F85BAD" w:rsidP="003A342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体外</w:t>
      </w:r>
      <w:r w:rsidR="00661AD8">
        <w:rPr>
          <w:rFonts w:ascii="宋体" w:eastAsia="宋体" w:hAnsi="宋体" w:cs="宋体" w:hint="eastAsia"/>
          <w:sz w:val="24"/>
        </w:rPr>
        <w:t>心肺</w:t>
      </w:r>
      <w:r>
        <w:rPr>
          <w:rFonts w:ascii="宋体" w:eastAsia="宋体" w:hAnsi="宋体" w:cs="宋体" w:hint="eastAsia"/>
          <w:sz w:val="24"/>
        </w:rPr>
        <w:t>复苏（ECPR）是一</w:t>
      </w:r>
      <w:r w:rsidR="009237F1">
        <w:rPr>
          <w:rFonts w:ascii="宋体" w:eastAsia="宋体" w:hAnsi="宋体" w:cs="宋体" w:hint="eastAsia"/>
          <w:sz w:val="24"/>
        </w:rPr>
        <w:t>项潜在</w:t>
      </w:r>
      <w:r>
        <w:rPr>
          <w:rFonts w:ascii="宋体" w:eastAsia="宋体" w:hAnsi="宋体" w:cs="宋体" w:hint="eastAsia"/>
          <w:sz w:val="24"/>
        </w:rPr>
        <w:t>的针对院外心脏骤停</w:t>
      </w:r>
      <w:r w:rsidR="00661AD8">
        <w:rPr>
          <w:rFonts w:ascii="宋体" w:eastAsia="宋体" w:hAnsi="宋体" w:cs="宋体" w:hint="eastAsia"/>
          <w:sz w:val="24"/>
        </w:rPr>
        <w:t>（O</w:t>
      </w:r>
      <w:r w:rsidR="00661AD8">
        <w:rPr>
          <w:rFonts w:ascii="宋体" w:eastAsia="宋体" w:hAnsi="宋体" w:cs="宋体"/>
          <w:sz w:val="24"/>
        </w:rPr>
        <w:t>HCA</w:t>
      </w:r>
      <w:r w:rsidR="00661AD8"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及室颤患者的</w:t>
      </w:r>
      <w:r w:rsidR="009237F1">
        <w:rPr>
          <w:rFonts w:ascii="宋体" w:eastAsia="宋体" w:hAnsi="宋体" w:cs="宋体" w:hint="eastAsia"/>
          <w:sz w:val="24"/>
        </w:rPr>
        <w:t>有效</w:t>
      </w:r>
      <w:r>
        <w:rPr>
          <w:rFonts w:ascii="宋体" w:eastAsia="宋体" w:hAnsi="宋体" w:cs="宋体" w:hint="eastAsia"/>
          <w:sz w:val="24"/>
        </w:rPr>
        <w:t>抢救措施，然而，该治疗是昂贵</w:t>
      </w:r>
      <w:r w:rsidR="009237F1">
        <w:rPr>
          <w:rFonts w:ascii="宋体" w:eastAsia="宋体" w:hAnsi="宋体" w:cs="宋体" w:hint="eastAsia"/>
          <w:sz w:val="24"/>
        </w:rPr>
        <w:t>的，</w:t>
      </w:r>
      <w:r>
        <w:rPr>
          <w:rFonts w:ascii="宋体" w:eastAsia="宋体" w:hAnsi="宋体" w:cs="宋体" w:hint="eastAsia"/>
          <w:sz w:val="24"/>
        </w:rPr>
        <w:t>有创的，</w:t>
      </w:r>
      <w:r w:rsidR="009074E5">
        <w:rPr>
          <w:rFonts w:ascii="宋体" w:eastAsia="宋体" w:hAnsi="宋体" w:cs="宋体" w:hint="eastAsia"/>
          <w:sz w:val="24"/>
        </w:rPr>
        <w:t>持续</w:t>
      </w:r>
      <w:r>
        <w:rPr>
          <w:rFonts w:ascii="宋体" w:eastAsia="宋体" w:hAnsi="宋体" w:cs="宋体" w:hint="eastAsia"/>
          <w:sz w:val="24"/>
        </w:rPr>
        <w:t>耗费</w:t>
      </w:r>
      <w:r w:rsidR="009074E5">
        <w:rPr>
          <w:rFonts w:ascii="宋体" w:eastAsia="宋体" w:hAnsi="宋体" w:cs="宋体" w:hint="eastAsia"/>
          <w:sz w:val="24"/>
        </w:rPr>
        <w:t>人力</w:t>
      </w:r>
      <w:r>
        <w:rPr>
          <w:rFonts w:ascii="宋体" w:eastAsia="宋体" w:hAnsi="宋体" w:cs="宋体" w:hint="eastAsia"/>
          <w:sz w:val="24"/>
        </w:rPr>
        <w:t>资源，因此，</w:t>
      </w:r>
      <w:r w:rsidR="00D75126">
        <w:rPr>
          <w:rFonts w:ascii="宋体" w:eastAsia="宋体" w:hAnsi="宋体" w:cs="宋体" w:hint="eastAsia"/>
          <w:sz w:val="24"/>
        </w:rPr>
        <w:t>在到达医院即刻就必须</w:t>
      </w:r>
      <w:r>
        <w:rPr>
          <w:rFonts w:ascii="宋体" w:eastAsia="宋体" w:hAnsi="宋体" w:cs="宋体" w:hint="eastAsia"/>
          <w:sz w:val="24"/>
        </w:rPr>
        <w:t>评估合适的患者接受ECPR治疗是</w:t>
      </w:r>
      <w:r w:rsidR="003A342B">
        <w:rPr>
          <w:rFonts w:ascii="宋体" w:eastAsia="宋体" w:hAnsi="宋体" w:cs="宋体" w:hint="eastAsia"/>
          <w:sz w:val="24"/>
        </w:rPr>
        <w:t>至关重要</w:t>
      </w:r>
      <w:r>
        <w:rPr>
          <w:rFonts w:ascii="宋体" w:eastAsia="宋体" w:hAnsi="宋体" w:cs="宋体" w:hint="eastAsia"/>
          <w:sz w:val="24"/>
        </w:rPr>
        <w:t>的。之前的</w:t>
      </w:r>
      <w:r w:rsidR="00471F33">
        <w:rPr>
          <w:rFonts w:ascii="宋体" w:eastAsia="宋体" w:hAnsi="宋体" w:cs="宋体" w:hint="eastAsia"/>
          <w:sz w:val="24"/>
        </w:rPr>
        <w:t>系统回顾中</w:t>
      </w:r>
      <w:r>
        <w:rPr>
          <w:rFonts w:ascii="宋体" w:eastAsia="宋体" w:hAnsi="宋体" w:cs="宋体" w:hint="eastAsia"/>
          <w:sz w:val="24"/>
        </w:rPr>
        <w:t>，起始电复律与</w:t>
      </w:r>
      <w:r w:rsidR="00B7653E">
        <w:rPr>
          <w:rFonts w:ascii="宋体" w:eastAsia="宋体" w:hAnsi="宋体" w:cs="宋体" w:hint="eastAsia"/>
          <w:sz w:val="24"/>
        </w:rPr>
        <w:t>O</w:t>
      </w:r>
      <w:r w:rsidR="00B7653E">
        <w:rPr>
          <w:rFonts w:ascii="宋体" w:eastAsia="宋体" w:hAnsi="宋体" w:cs="宋体"/>
          <w:sz w:val="24"/>
        </w:rPr>
        <w:t>HCA</w:t>
      </w:r>
      <w:r w:rsidR="00B7653E">
        <w:rPr>
          <w:rFonts w:ascii="宋体" w:eastAsia="宋体" w:hAnsi="宋体" w:cs="宋体" w:hint="eastAsia"/>
          <w:sz w:val="24"/>
        </w:rPr>
        <w:t>后的结局</w:t>
      </w:r>
      <w:r>
        <w:rPr>
          <w:rFonts w:ascii="宋体" w:eastAsia="宋体" w:hAnsi="宋体" w:cs="宋体" w:hint="eastAsia"/>
          <w:sz w:val="24"/>
        </w:rPr>
        <w:t>密切相关，然而，其实际预测能力仍需临床数据支撑，临床预测规则，比如心房颤动的 CHADS2</w:t>
      </w:r>
      <w:r w:rsidR="000118C2">
        <w:rPr>
          <w:rFonts w:ascii="宋体" w:eastAsia="宋体" w:hAnsi="宋体" w:cs="宋体" w:hint="eastAsia"/>
          <w:sz w:val="24"/>
        </w:rPr>
        <w:t>评分</w:t>
      </w:r>
      <w:r>
        <w:rPr>
          <w:rFonts w:ascii="宋体" w:eastAsia="宋体" w:hAnsi="宋体" w:cs="宋体" w:hint="eastAsia"/>
          <w:sz w:val="24"/>
        </w:rPr>
        <w:t>（充血性心力衰竭、高血压、</w:t>
      </w:r>
      <w:r w:rsidR="00D21F72">
        <w:rPr>
          <w:rFonts w:ascii="宋体" w:eastAsia="宋体" w:hAnsi="宋体" w:cs="宋体" w:hint="eastAsia"/>
          <w:sz w:val="24"/>
        </w:rPr>
        <w:t>≥</w:t>
      </w:r>
      <w:r>
        <w:rPr>
          <w:rFonts w:ascii="宋体" w:eastAsia="宋体" w:hAnsi="宋体" w:cs="宋体" w:hint="eastAsia"/>
          <w:sz w:val="24"/>
        </w:rPr>
        <w:t>75 岁、糖尿病和中风 [风险加倍]）和肺炎的 CURB-65（意识模糊、尿素、呼吸频率、血压和年龄</w:t>
      </w:r>
      <w:r w:rsidR="00D21F72">
        <w:rPr>
          <w:rFonts w:ascii="宋体" w:eastAsia="宋体" w:hAnsi="宋体" w:cs="宋体" w:hint="eastAsia"/>
          <w:sz w:val="24"/>
        </w:rPr>
        <w:t>≥</w:t>
      </w:r>
      <w:r>
        <w:rPr>
          <w:rFonts w:ascii="宋体" w:eastAsia="宋体" w:hAnsi="宋体" w:cs="宋体" w:hint="eastAsia"/>
          <w:sz w:val="24"/>
        </w:rPr>
        <w:t>65 岁），已被用于简单快速地估计临床结果的概率。探索及验证更为准确的临床预测模型是有必要的。</w:t>
      </w:r>
      <w:r w:rsidR="00F2651E" w:rsidRPr="00091EE9">
        <w:rPr>
          <w:rFonts w:ascii="宋体" w:eastAsia="宋体" w:hAnsi="宋体" w:cs="宋体" w:hint="eastAsia"/>
          <w:sz w:val="24"/>
        </w:rPr>
        <w:t>本研究旨在开发和验证一种预测</w:t>
      </w:r>
      <w:r w:rsidR="00F2651E" w:rsidRPr="00091EE9">
        <w:rPr>
          <w:rFonts w:ascii="宋体" w:eastAsia="宋体" w:hAnsi="宋体" w:cs="宋体"/>
          <w:sz w:val="24"/>
        </w:rPr>
        <w:t>OCHA</w:t>
      </w:r>
      <w:r w:rsidR="00F2651E" w:rsidRPr="00091EE9">
        <w:rPr>
          <w:rFonts w:ascii="宋体" w:eastAsia="宋体" w:hAnsi="宋体" w:cs="宋体" w:hint="eastAsia"/>
          <w:sz w:val="24"/>
        </w:rPr>
        <w:t>、可电复患者接受</w:t>
      </w:r>
      <w:r w:rsidR="00F2651E" w:rsidRPr="00091EE9">
        <w:rPr>
          <w:rFonts w:ascii="宋体" w:eastAsia="宋体" w:hAnsi="宋体" w:cs="宋体"/>
          <w:sz w:val="24"/>
        </w:rPr>
        <w:t>ECPR</w:t>
      </w:r>
      <w:r w:rsidR="00F2651E" w:rsidRPr="00091EE9">
        <w:rPr>
          <w:rFonts w:ascii="宋体" w:eastAsia="宋体" w:hAnsi="宋体" w:cs="宋体" w:hint="eastAsia"/>
          <w:sz w:val="24"/>
        </w:rPr>
        <w:t>治疗后神经功能预后的模型。</w:t>
      </w:r>
    </w:p>
    <w:p w14:paraId="6E2479CB" w14:textId="77777777" w:rsidR="00F36A21" w:rsidRDefault="00F85BAD" w:rsidP="00091EE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研究起初纳入了34754名患者，纳入了符合纳入标准的 916 人；458 人在开发队列中（来自 35 家医院；中位 [IQR] 年龄，61 [47-69] 岁；377 [82.3%] 男性）和 458 人在验证队列中（来自 33 家医院；中位 [IQR] 年龄，60 [ 49-68] 岁；393[85.8%] 男性）（图 1）</w:t>
      </w:r>
    </w:p>
    <w:p w14:paraId="08614813" w14:textId="77777777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 wp14:anchorId="325975C9" wp14:editId="2D085C1D">
            <wp:extent cx="5266690" cy="6172200"/>
            <wp:effectExtent l="0" t="0" r="6350" b="0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09386" w14:textId="77777777" w:rsidR="001B5286" w:rsidRDefault="001B5286" w:rsidP="001B5286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1716C6F7" w14:textId="090A14D0" w:rsidR="00F36A21" w:rsidRDefault="00F85BAD" w:rsidP="00091EE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模型开发和其表现良好，</w:t>
      </w:r>
      <w:proofErr w:type="gramStart"/>
      <w:r>
        <w:rPr>
          <w:rFonts w:ascii="宋体" w:eastAsia="宋体" w:hAnsi="宋体" w:cs="宋体" w:hint="eastAsia"/>
          <w:sz w:val="24"/>
        </w:rPr>
        <w:t>用预测</w:t>
      </w:r>
      <w:proofErr w:type="gramEnd"/>
      <w:r>
        <w:rPr>
          <w:rFonts w:ascii="宋体" w:eastAsia="宋体" w:hAnsi="宋体" w:cs="宋体" w:hint="eastAsia"/>
          <w:sz w:val="24"/>
        </w:rPr>
        <w:t>变量候选的 95% CI 计算了粗 OR，并为模型选择了如下预测变量：年龄小于 65 岁； pH值至少为7.0； 从紧急呼叫到</w:t>
      </w:r>
      <w:r w:rsidR="001F2D7E">
        <w:rPr>
          <w:rFonts w:ascii="宋体" w:eastAsia="宋体" w:hAnsi="宋体" w:cs="宋体" w:hint="eastAsia"/>
          <w:sz w:val="24"/>
        </w:rPr>
        <w:t>抵</w:t>
      </w:r>
      <w:r>
        <w:rPr>
          <w:rFonts w:ascii="宋体" w:eastAsia="宋体" w:hAnsi="宋体" w:cs="宋体" w:hint="eastAsia"/>
          <w:sz w:val="24"/>
        </w:rPr>
        <w:t>达医院的时间少于25 分钟或更短； 以及到达医院时电复律。 我们使用逻辑回归分析计算了 β 系数和 SE。 该模型的 C 统计量为 0.753（95% CI，0.687-0.809）。 通过</w:t>
      </w:r>
      <w:proofErr w:type="gramStart"/>
      <w:r>
        <w:rPr>
          <w:rFonts w:ascii="宋体" w:eastAsia="宋体" w:hAnsi="宋体" w:cs="宋体" w:hint="eastAsia"/>
          <w:sz w:val="24"/>
        </w:rPr>
        <w:t>自举法校正</w:t>
      </w:r>
      <w:proofErr w:type="gramEnd"/>
      <w:r>
        <w:rPr>
          <w:rFonts w:ascii="宋体" w:eastAsia="宋体" w:hAnsi="宋体" w:cs="宋体" w:hint="eastAsia"/>
          <w:sz w:val="24"/>
        </w:rPr>
        <w:t xml:space="preserve">偏差的 C 统计量为 0.738（95% CI，0.672-0.802）。 表1说明了用于预测结果概率，其他性能以及校准图的预测模型方程式。 </w:t>
      </w:r>
      <w:proofErr w:type="spellStart"/>
      <w:r>
        <w:rPr>
          <w:rFonts w:ascii="宋体" w:eastAsia="宋体" w:hAnsi="宋体" w:cs="宋体" w:hint="eastAsia"/>
          <w:sz w:val="24"/>
        </w:rPr>
        <w:t>HosmerLemeshow</w:t>
      </w:r>
      <w:proofErr w:type="spellEnd"/>
      <w:r>
        <w:rPr>
          <w:rFonts w:ascii="宋体" w:eastAsia="宋体" w:hAnsi="宋体" w:cs="宋体" w:hint="eastAsia"/>
          <w:sz w:val="24"/>
        </w:rPr>
        <w:t xml:space="preserve"> 检验的校准图和结果 (χ 2 8 = 5.57; P = .70) 表</w:t>
      </w:r>
      <w:r>
        <w:rPr>
          <w:rFonts w:ascii="宋体" w:eastAsia="宋体" w:hAnsi="宋体" w:cs="宋体" w:hint="eastAsia"/>
          <w:sz w:val="24"/>
        </w:rPr>
        <w:lastRenderedPageBreak/>
        <w:t>明预测与观测值校准良好； 然而，引导程序表明在高概率组中被略微高估了。</w:t>
      </w:r>
    </w:p>
    <w:p w14:paraId="5FDB9ED6" w14:textId="77777777" w:rsidR="00F36A21" w:rsidRDefault="00F85BA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表1.TiPS65 评分系统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36A21" w14:paraId="5CE13C66" w14:textId="77777777"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95EEC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变量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B3BC7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评分</w:t>
            </w:r>
          </w:p>
        </w:tc>
      </w:tr>
      <w:tr w:rsidR="00F36A21" w14:paraId="1F6CD72F" w14:textId="77777777"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6FFAD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到院时间小于25分钟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B7BE6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F36A21" w14:paraId="14E7D60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D87FB7E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PH值高于7.0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4C7ED4F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F36A21" w14:paraId="0FAE4D2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D0B8F36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到院后使用电复律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F81BFF7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F36A21" w14:paraId="0171308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CD2DCFC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年龄小于65岁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0748724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F36A21" w14:paraId="71C61BFD" w14:textId="77777777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F19E2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总分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0DC74" w14:textId="77777777" w:rsidR="00F36A21" w:rsidRDefault="00F85BA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</w:tbl>
    <w:p w14:paraId="582CAE8C" w14:textId="77777777" w:rsidR="00F36A21" w:rsidRDefault="00F36A21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45311198" w14:textId="732AA3C7" w:rsidR="00F36A21" w:rsidRDefault="00F85BAD" w:rsidP="00091EE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根据以上评分系统，我们可以将患者分为 4 组，具体如下：极低概率（0 分）、低概率（1 分）、中等概率（2 分）和高概率（3-4 分）的神经</w:t>
      </w:r>
      <w:r w:rsidR="00216743">
        <w:rPr>
          <w:rFonts w:ascii="宋体" w:eastAsia="宋体" w:hAnsi="宋体" w:cs="宋体" w:hint="eastAsia"/>
          <w:sz w:val="24"/>
        </w:rPr>
        <w:t>系统结果良好</w:t>
      </w:r>
      <w:r>
        <w:rPr>
          <w:rFonts w:ascii="宋体" w:eastAsia="宋体" w:hAnsi="宋体" w:cs="宋体" w:hint="eastAsia"/>
          <w:sz w:val="24"/>
        </w:rPr>
        <w:t>。</w:t>
      </w:r>
    </w:p>
    <w:p w14:paraId="067CBACE" w14:textId="77777777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在验证队列中，预测模型的 C 统计量为 0.731（95% CI，0.653-0.797），评分系统的 C 统计量为 0.724（95% CI，0.652-0.786）。诊断能力（敏感性、特异性、阴性似然比和阳性似然比）在补充的 </w:t>
      </w:r>
      <w:proofErr w:type="spellStart"/>
      <w:r>
        <w:rPr>
          <w:rFonts w:ascii="宋体" w:eastAsia="宋体" w:hAnsi="宋体" w:cs="宋体" w:hint="eastAsia"/>
          <w:sz w:val="24"/>
        </w:rPr>
        <w:t>eTable</w:t>
      </w:r>
      <w:proofErr w:type="spellEnd"/>
      <w:r>
        <w:rPr>
          <w:rFonts w:ascii="宋体" w:eastAsia="宋体" w:hAnsi="宋体" w:cs="宋体" w:hint="eastAsia"/>
          <w:sz w:val="24"/>
        </w:rPr>
        <w:t xml:space="preserve"> 5 中描述。按 TiPS65 评分分层的组中的平均预测概率如下：非常低（评分 0），1.6%（95% CI，1.6%-1.6%）；低（得分 1），4.4%（95% CI，4.2%-4.6%）；中（得分 2），12.5%（95% CI，12.1%-12.8%）；和高（3-4 分），30.8%（95% CI，29.1%-32.5%）（图 2）。在图2中总结了95％CI的平均预测概率以及在开发和验证队列中观察到的结果。对这两个队列中观察到的有利结果进行了很好的校准。此外，在验证队列中，我们计算了净收益并指出了决策曲线分析，这表明使用评分的净收益大于所有 ECPR 策略或不使用 ECPR 策略的净收益。因此，我们的模型可能有助于选择合适的 ECPR 候选者。</w:t>
      </w:r>
    </w:p>
    <w:p w14:paraId="7A17285B" w14:textId="77777777" w:rsidR="00F36A21" w:rsidRDefault="00F85BA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 wp14:anchorId="34C291F0" wp14:editId="27657004">
            <wp:extent cx="5218430" cy="2973705"/>
            <wp:effectExtent l="0" t="0" r="8890" b="13335"/>
            <wp:docPr id="2" name="图片 2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2"/>
                    <pic:cNvPicPr>
                      <a:picLocks noChangeAspect="1"/>
                    </pic:cNvPicPr>
                  </pic:nvPicPr>
                  <pic:blipFill>
                    <a:blip r:embed="rId6"/>
                    <a:srcRect r="916" b="51821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1BC0" w14:textId="45D9EBE6" w:rsidR="00F36A21" w:rsidRDefault="00F85BA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该研究发现，TiPS65 评分系统可能有助于预测院外心脏骤停和</w:t>
      </w:r>
      <w:proofErr w:type="gramStart"/>
      <w:r>
        <w:rPr>
          <w:rFonts w:ascii="宋体" w:eastAsia="宋体" w:hAnsi="宋体" w:cs="宋体" w:hint="eastAsia"/>
          <w:sz w:val="24"/>
        </w:rPr>
        <w:t>可</w:t>
      </w:r>
      <w:proofErr w:type="gramEnd"/>
      <w:r>
        <w:rPr>
          <w:rFonts w:ascii="宋体" w:eastAsia="宋体" w:hAnsi="宋体" w:cs="宋体" w:hint="eastAsia"/>
          <w:sz w:val="24"/>
        </w:rPr>
        <w:t>电复律的 ECPR 患者的良好神经学结果。 需要进一步的研究来前瞻性地评估该评分系统，并进行额外的改进，在不同的环境中对其进行验证，并阐明其临床实用性。</w:t>
      </w:r>
    </w:p>
    <w:p w14:paraId="3544F669" w14:textId="774F9863" w:rsidR="00614EDF" w:rsidRDefault="00614EDF" w:rsidP="00091EE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61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AA3059"/>
    <w:rsid w:val="000118C2"/>
    <w:rsid w:val="000323D6"/>
    <w:rsid w:val="00091EE9"/>
    <w:rsid w:val="00152658"/>
    <w:rsid w:val="0019259D"/>
    <w:rsid w:val="001B5286"/>
    <w:rsid w:val="001C2167"/>
    <w:rsid w:val="001D41D8"/>
    <w:rsid w:val="001F2D7E"/>
    <w:rsid w:val="002024D9"/>
    <w:rsid w:val="00216743"/>
    <w:rsid w:val="00336EF5"/>
    <w:rsid w:val="003A342B"/>
    <w:rsid w:val="004052D8"/>
    <w:rsid w:val="00471F33"/>
    <w:rsid w:val="004E2552"/>
    <w:rsid w:val="005960B2"/>
    <w:rsid w:val="005D54A2"/>
    <w:rsid w:val="005D679A"/>
    <w:rsid w:val="00614EDF"/>
    <w:rsid w:val="00643EB6"/>
    <w:rsid w:val="0064665F"/>
    <w:rsid w:val="00661AD8"/>
    <w:rsid w:val="006C0736"/>
    <w:rsid w:val="006D023B"/>
    <w:rsid w:val="006D56C5"/>
    <w:rsid w:val="00863ECC"/>
    <w:rsid w:val="00875476"/>
    <w:rsid w:val="008D6731"/>
    <w:rsid w:val="009074E5"/>
    <w:rsid w:val="009237F1"/>
    <w:rsid w:val="00972AEC"/>
    <w:rsid w:val="009B3F2E"/>
    <w:rsid w:val="00AB232E"/>
    <w:rsid w:val="00AC06B3"/>
    <w:rsid w:val="00AC3741"/>
    <w:rsid w:val="00B208E4"/>
    <w:rsid w:val="00B7653E"/>
    <w:rsid w:val="00B80A78"/>
    <w:rsid w:val="00BD4697"/>
    <w:rsid w:val="00BE00A7"/>
    <w:rsid w:val="00C12566"/>
    <w:rsid w:val="00D14CD1"/>
    <w:rsid w:val="00D21A7A"/>
    <w:rsid w:val="00D21F72"/>
    <w:rsid w:val="00D27A39"/>
    <w:rsid w:val="00D75126"/>
    <w:rsid w:val="00DE0172"/>
    <w:rsid w:val="00DE62B4"/>
    <w:rsid w:val="00E501A0"/>
    <w:rsid w:val="00E97E70"/>
    <w:rsid w:val="00F2651E"/>
    <w:rsid w:val="00F36A21"/>
    <w:rsid w:val="00F43E51"/>
    <w:rsid w:val="00F85BAD"/>
    <w:rsid w:val="4EAA3059"/>
    <w:rsid w:val="5FD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D7127"/>
  <w15:docId w15:val="{FA1A5C98-554A-4479-87E4-A608DFC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85BAD"/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rsid w:val="00F85BAD"/>
    <w:rPr>
      <w:rFonts w:ascii="Heiti SC Light" w:eastAsia="Heiti SC Light"/>
      <w:kern w:val="2"/>
      <w:sz w:val="18"/>
      <w:szCs w:val="18"/>
    </w:rPr>
  </w:style>
  <w:style w:type="character" w:styleId="a6">
    <w:name w:val="annotation reference"/>
    <w:basedOn w:val="a0"/>
    <w:rsid w:val="00F85BAD"/>
    <w:rPr>
      <w:sz w:val="21"/>
      <w:szCs w:val="21"/>
    </w:rPr>
  </w:style>
  <w:style w:type="paragraph" w:styleId="a7">
    <w:name w:val="annotation text"/>
    <w:basedOn w:val="a"/>
    <w:link w:val="a8"/>
    <w:rsid w:val="00F85BAD"/>
    <w:pPr>
      <w:jc w:val="left"/>
    </w:pPr>
  </w:style>
  <w:style w:type="character" w:customStyle="1" w:styleId="a8">
    <w:name w:val="批注文字 字符"/>
    <w:basedOn w:val="a0"/>
    <w:link w:val="a7"/>
    <w:rsid w:val="00F85BA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F85BAD"/>
    <w:rPr>
      <w:b/>
      <w:bCs/>
    </w:rPr>
  </w:style>
  <w:style w:type="character" w:customStyle="1" w:styleId="aa">
    <w:name w:val="批注主题 字符"/>
    <w:basedOn w:val="a8"/>
    <w:link w:val="a9"/>
    <w:rsid w:val="00F85BAD"/>
    <w:rPr>
      <w:b/>
      <w:bCs/>
      <w:kern w:val="2"/>
      <w:sz w:val="21"/>
      <w:szCs w:val="24"/>
    </w:rPr>
  </w:style>
  <w:style w:type="paragraph" w:styleId="ab">
    <w:name w:val="Revision"/>
    <w:hidden/>
    <w:uiPriority w:val="99"/>
    <w:unhideWhenUsed/>
    <w:rsid w:val="00972AEC"/>
    <w:rPr>
      <w:kern w:val="2"/>
      <w:sz w:val="21"/>
      <w:szCs w:val="24"/>
    </w:rPr>
  </w:style>
  <w:style w:type="character" w:customStyle="1" w:styleId="tgt">
    <w:name w:val="tgt"/>
    <w:basedOn w:val="a0"/>
    <w:rsid w:val="00DE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414</Words>
  <Characters>2366</Characters>
  <Application>Microsoft Office Word</Application>
  <DocSecurity>0</DocSecurity>
  <Lines>19</Lines>
  <Paragraphs>5</Paragraphs>
  <ScaleCrop>false</ScaleCrop>
  <Company>home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</dc:creator>
  <cp:lastModifiedBy>周 荣华</cp:lastModifiedBy>
  <cp:revision>56</cp:revision>
  <dcterms:created xsi:type="dcterms:W3CDTF">2021-05-30T11:40:00Z</dcterms:created>
  <dcterms:modified xsi:type="dcterms:W3CDTF">2021-07-09T04:01:00Z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263D1E7E2AB148B08ECB9441C271F73A</vt:lpwstr>
  </property>
</Properties>
</file>