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73B3" w14:textId="03F0DE1A" w:rsidR="00267644" w:rsidRDefault="00AE5954" w:rsidP="008A617C">
      <w:pPr>
        <w:spacing w:line="360" w:lineRule="auto"/>
        <w:jc w:val="center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院外心跳骤停ECPR患者的血气低pH值和不良神经结局的相关性：一项日本前瞻性观察性研究</w:t>
      </w:r>
    </w:p>
    <w:p w14:paraId="18345BF8" w14:textId="77777777" w:rsidR="00267644" w:rsidRDefault="00267644">
      <w:pPr>
        <w:spacing w:line="360" w:lineRule="auto"/>
        <w:jc w:val="center"/>
        <w:rPr>
          <w:rFonts w:ascii="宋体" w:eastAsia="宋体" w:hAnsi="宋体" w:cs="宋体"/>
          <w:b/>
          <w:sz w:val="30"/>
          <w:szCs w:val="30"/>
        </w:rPr>
      </w:pPr>
    </w:p>
    <w:p w14:paraId="2BB8E694" w14:textId="4A85339B" w:rsidR="00267644" w:rsidRDefault="00AE5954" w:rsidP="008A617C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翻译：</w:t>
      </w:r>
      <w:proofErr w:type="gramStart"/>
      <w:r>
        <w:rPr>
          <w:rFonts w:ascii="宋体" w:eastAsia="宋体" w:hAnsi="宋体" w:cs="宋体" w:hint="eastAsia"/>
          <w:b/>
          <w:sz w:val="24"/>
        </w:rPr>
        <w:t>楼松 阜</w:t>
      </w:r>
      <w:proofErr w:type="gramEnd"/>
      <w:r>
        <w:rPr>
          <w:rFonts w:ascii="宋体" w:eastAsia="宋体" w:hAnsi="宋体" w:cs="宋体" w:hint="eastAsia"/>
          <w:b/>
          <w:sz w:val="24"/>
        </w:rPr>
        <w:t>外医院</w:t>
      </w:r>
    </w:p>
    <w:p w14:paraId="7319A8EE" w14:textId="7EF09A12" w:rsidR="008A617C" w:rsidRDefault="008A617C" w:rsidP="008A617C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审校：郝星 首都医科大学附属北京安贞医院</w:t>
      </w:r>
    </w:p>
    <w:p w14:paraId="7618DA4D" w14:textId="77777777" w:rsidR="00267644" w:rsidRDefault="00267644" w:rsidP="00001956">
      <w:pPr>
        <w:spacing w:line="360" w:lineRule="auto"/>
        <w:rPr>
          <w:rFonts w:ascii="宋体" w:eastAsia="宋体" w:hAnsi="宋体" w:cs="宋体" w:hint="eastAsia"/>
          <w:sz w:val="24"/>
        </w:rPr>
      </w:pPr>
    </w:p>
    <w:p w14:paraId="327BC23F" w14:textId="77777777" w:rsidR="00267644" w:rsidRDefault="00AE5954">
      <w:pPr>
        <w:spacing w:line="360" w:lineRule="auto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30"/>
          <w:szCs w:val="30"/>
        </w:rPr>
        <w:t>研究背景：</w:t>
      </w:r>
    </w:p>
    <w:p w14:paraId="50D7B18B" w14:textId="77777777" w:rsidR="00267644" w:rsidRDefault="00AE5954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体外心肺复苏（ECPR）用于难治性院外心跳骤停（OHCA）患者，可改善这些患者结局，但是ECPR的费用昂贵且消耗大量医疗资源。因此，需要在患者来院时立即进行是否应用ECPR的决策。</w:t>
      </w:r>
    </w:p>
    <w:p w14:paraId="7DC30659" w14:textId="77777777" w:rsidR="00267644" w:rsidRDefault="00AE5954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血气是容易快速得到结果的检测，且血气pH</w:t>
      </w:r>
      <w:proofErr w:type="gramStart"/>
      <w:r>
        <w:rPr>
          <w:rFonts w:ascii="宋体" w:eastAsia="宋体" w:hAnsi="宋体" w:cs="宋体" w:hint="eastAsia"/>
          <w:sz w:val="24"/>
        </w:rPr>
        <w:t>值综合</w:t>
      </w:r>
      <w:proofErr w:type="gramEnd"/>
      <w:r>
        <w:rPr>
          <w:rFonts w:ascii="宋体" w:eastAsia="宋体" w:hAnsi="宋体" w:cs="宋体" w:hint="eastAsia"/>
          <w:sz w:val="24"/>
        </w:rPr>
        <w:t>反应了患者血流动力学和呼吸的情况。既往有研究显示，OHCA患者自主循环恢复（ROSC）后的血气pH值、心肺复苏期间的pH值与患者预后相关。</w:t>
      </w:r>
    </w:p>
    <w:p w14:paraId="3DD770E7" w14:textId="77777777" w:rsidR="00267644" w:rsidRDefault="00AE5954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ECPR实施前血气pH值和OHCA患者预后的关系不清楚。</w:t>
      </w:r>
    </w:p>
    <w:p w14:paraId="0D132F67" w14:textId="77777777" w:rsidR="00267644" w:rsidRDefault="00267644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14:paraId="340E41F5" w14:textId="77777777" w:rsidR="00267644" w:rsidRDefault="00AE5954">
      <w:pPr>
        <w:spacing w:line="360" w:lineRule="auto"/>
        <w:jc w:val="left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研究目的：</w:t>
      </w:r>
    </w:p>
    <w:p w14:paraId="22052F0B" w14:textId="77777777" w:rsidR="00267644" w:rsidRDefault="00AE5954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明确OHCA患者ECPR前血气pH值与神经结局的相关性。</w:t>
      </w:r>
    </w:p>
    <w:p w14:paraId="3BEA8712" w14:textId="77777777" w:rsidR="00267644" w:rsidRDefault="00267644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14:paraId="2F4CA1B8" w14:textId="77777777" w:rsidR="00267644" w:rsidRDefault="00AE5954">
      <w:pPr>
        <w:spacing w:line="360" w:lineRule="auto"/>
        <w:jc w:val="left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研究方法</w:t>
      </w:r>
    </w:p>
    <w:p w14:paraId="29E4E411" w14:textId="77777777" w:rsidR="00267644" w:rsidRDefault="00AE5954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研究设计：</w:t>
      </w:r>
    </w:p>
    <w:p w14:paraId="4D0E19F2" w14:textId="77777777" w:rsidR="00267644" w:rsidRDefault="00AE5954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（1）回顾性分析CRITICAL研究的数据库（CRITICAL研究：Comprehensive Registry of Intensive Care for OHCA Survival研究）。OHCCRITICAL研究为在日本大阪</w:t>
      </w:r>
      <w:proofErr w:type="gramStart"/>
      <w:r>
        <w:rPr>
          <w:rFonts w:ascii="宋体" w:eastAsia="宋体" w:hAnsi="宋体" w:cs="宋体" w:hint="eastAsia"/>
          <w:sz w:val="24"/>
        </w:rPr>
        <w:t>府开展</w:t>
      </w:r>
      <w:proofErr w:type="gramEnd"/>
      <w:r>
        <w:rPr>
          <w:rFonts w:ascii="宋体" w:eastAsia="宋体" w:hAnsi="宋体" w:cs="宋体" w:hint="eastAsia"/>
          <w:sz w:val="24"/>
        </w:rPr>
        <w:t>的OHCA患者的多中心前瞻性观察性研究。</w:t>
      </w:r>
    </w:p>
    <w:p w14:paraId="3106347A" w14:textId="77777777" w:rsidR="00267644" w:rsidRDefault="00AE5954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（2）院前资料来自急救系统（FDMA），院内资料来自大阪府13个三级重症医学中心和一个非重症社区医院。</w:t>
      </w:r>
    </w:p>
    <w:p w14:paraId="561804CF" w14:textId="77777777" w:rsidR="00267644" w:rsidRDefault="00267644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14:paraId="727D66E4" w14:textId="77777777" w:rsidR="00267644" w:rsidRDefault="00AE5954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研究患者</w:t>
      </w:r>
    </w:p>
    <w:p w14:paraId="4FE13608" w14:textId="77777777" w:rsidR="00267644" w:rsidRDefault="00AE5954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（1）纳入标准：</w:t>
      </w:r>
    </w:p>
    <w:p w14:paraId="0DE2BED4" w14:textId="77777777" w:rsidR="00267644" w:rsidRDefault="00AE5954">
      <w:pPr>
        <w:pStyle w:val="a6"/>
        <w:spacing w:line="360" w:lineRule="auto"/>
        <w:ind w:left="360"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a.来自</w:t>
      </w:r>
      <w:proofErr w:type="spellStart"/>
      <w:r>
        <w:rPr>
          <w:rFonts w:ascii="宋体" w:eastAsia="宋体" w:hAnsi="宋体" w:cs="宋体" w:hint="eastAsia"/>
          <w:sz w:val="24"/>
        </w:rPr>
        <w:t>CRITICAl</w:t>
      </w:r>
      <w:proofErr w:type="spellEnd"/>
      <w:r>
        <w:rPr>
          <w:rFonts w:ascii="宋体" w:eastAsia="宋体" w:hAnsi="宋体" w:cs="宋体" w:hint="eastAsia"/>
          <w:sz w:val="24"/>
        </w:rPr>
        <w:t>研究的数据库</w:t>
      </w:r>
    </w:p>
    <w:p w14:paraId="4EBF9066" w14:textId="77777777" w:rsidR="00267644" w:rsidRDefault="00AE5954">
      <w:pPr>
        <w:pStyle w:val="a6"/>
        <w:spacing w:line="360" w:lineRule="auto"/>
        <w:ind w:left="360"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b. ≥18岁</w:t>
      </w:r>
    </w:p>
    <w:p w14:paraId="26137A8A" w14:textId="77777777" w:rsidR="00267644" w:rsidRDefault="00AE5954">
      <w:pPr>
        <w:pStyle w:val="a6"/>
        <w:spacing w:line="360" w:lineRule="auto"/>
        <w:ind w:left="360"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 因内科病因导致的OHCA</w:t>
      </w:r>
    </w:p>
    <w:p w14:paraId="5450BFAC" w14:textId="77777777" w:rsidR="00267644" w:rsidRDefault="00AE5954">
      <w:pPr>
        <w:pStyle w:val="a6"/>
        <w:spacing w:line="360" w:lineRule="auto"/>
        <w:ind w:left="360"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d. 应用ECPR</w:t>
      </w:r>
    </w:p>
    <w:p w14:paraId="38D60486" w14:textId="77777777" w:rsidR="00267644" w:rsidRDefault="00AE5954">
      <w:pPr>
        <w:pStyle w:val="a6"/>
        <w:spacing w:line="360" w:lineRule="auto"/>
        <w:ind w:left="360"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e. 2012.7.1~2016.12.31</w:t>
      </w:r>
    </w:p>
    <w:p w14:paraId="057856C2" w14:textId="77777777" w:rsidR="00267644" w:rsidRDefault="00267644">
      <w:pPr>
        <w:pStyle w:val="a6"/>
        <w:spacing w:line="360" w:lineRule="auto"/>
        <w:ind w:left="360" w:firstLineChars="100" w:firstLine="240"/>
        <w:jc w:val="left"/>
        <w:rPr>
          <w:rFonts w:ascii="宋体" w:eastAsia="宋体" w:hAnsi="宋体" w:cs="宋体"/>
          <w:sz w:val="24"/>
        </w:rPr>
      </w:pPr>
    </w:p>
    <w:p w14:paraId="74A50E4A" w14:textId="77777777" w:rsidR="00267644" w:rsidRDefault="00AE5954">
      <w:pPr>
        <w:pStyle w:val="a6"/>
        <w:spacing w:line="360" w:lineRule="auto"/>
        <w:ind w:left="360"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(2)排除标准：</w:t>
      </w:r>
    </w:p>
    <w:p w14:paraId="7B222776" w14:textId="337DBF46" w:rsidR="00267644" w:rsidRDefault="00AE5954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a. 未在医院接受复苏或治疗</w:t>
      </w:r>
    </w:p>
    <w:p w14:paraId="6850E05D" w14:textId="77777777" w:rsidR="00267644" w:rsidRDefault="00AE5954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b. 院前资料不全</w:t>
      </w:r>
    </w:p>
    <w:p w14:paraId="01BC2B6D" w14:textId="7A1FA091" w:rsidR="00267644" w:rsidRDefault="00AE5954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c．因外科病因导致的OHCA，包括创伤、溺水、物理性窒息</w:t>
      </w:r>
    </w:p>
    <w:p w14:paraId="2ADAADB2" w14:textId="77777777" w:rsidR="00267644" w:rsidRDefault="00AE5954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d. 未应用ECPR</w:t>
      </w:r>
    </w:p>
    <w:p w14:paraId="224648E1" w14:textId="77777777" w:rsidR="00267644" w:rsidRDefault="00AE5954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e. 无ECPR前血气资料</w:t>
      </w:r>
    </w:p>
    <w:p w14:paraId="7D66A797" w14:textId="77777777" w:rsidR="00267644" w:rsidRDefault="00267644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sz w:val="24"/>
        </w:rPr>
      </w:pPr>
    </w:p>
    <w:p w14:paraId="66385379" w14:textId="77777777" w:rsidR="00267644" w:rsidRDefault="00AE5954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应用ECPR的决策由主诊医师完成或按照各中心的流程。</w:t>
      </w:r>
    </w:p>
    <w:p w14:paraId="19E74078" w14:textId="77777777" w:rsidR="00267644" w:rsidRDefault="00267644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sz w:val="24"/>
        </w:rPr>
      </w:pPr>
    </w:p>
    <w:p w14:paraId="57A10A91" w14:textId="77777777" w:rsidR="00267644" w:rsidRDefault="00AE5954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研究结局</w:t>
      </w:r>
    </w:p>
    <w:p w14:paraId="581F47BF" w14:textId="77777777" w:rsidR="00267644" w:rsidRDefault="00AE5954">
      <w:pPr>
        <w:spacing w:line="360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主要结局：1月生存且神经功能良好（CPC1-2）</w:t>
      </w:r>
    </w:p>
    <w:p w14:paraId="431059E1" w14:textId="77777777" w:rsidR="00267644" w:rsidRDefault="00267644">
      <w:pPr>
        <w:pStyle w:val="a6"/>
        <w:spacing w:line="360" w:lineRule="auto"/>
        <w:ind w:left="1080" w:firstLineChars="0" w:firstLine="0"/>
        <w:jc w:val="left"/>
        <w:rPr>
          <w:rFonts w:ascii="宋体" w:eastAsia="宋体" w:hAnsi="宋体" w:cs="宋体"/>
          <w:sz w:val="24"/>
        </w:rPr>
      </w:pPr>
    </w:p>
    <w:p w14:paraId="6554F15D" w14:textId="77777777" w:rsidR="00267644" w:rsidRDefault="00AE5954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数据收集和定义</w:t>
      </w:r>
    </w:p>
    <w:p w14:paraId="06BC7AD2" w14:textId="77777777" w:rsidR="00267644" w:rsidRDefault="00AE5954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（1）数据来自CRITICAL数据库</w:t>
      </w:r>
    </w:p>
    <w:p w14:paraId="07C06B56" w14:textId="77777777" w:rsidR="00267644" w:rsidRDefault="00AE5954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（2）ECPR前静脉和动脉血气pH值可通用</w:t>
      </w:r>
    </w:p>
    <w:p w14:paraId="7BE279B0" w14:textId="77777777" w:rsidR="00267644" w:rsidRDefault="00AE5954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（3）根据pH值将患者分为均等的三组</w:t>
      </w:r>
    </w:p>
    <w:p w14:paraId="0C67BEA0" w14:textId="77777777" w:rsidR="00267644" w:rsidRPr="00742B5D" w:rsidRDefault="00267644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14:paraId="0308C2D1" w14:textId="77777777" w:rsidR="00267644" w:rsidRDefault="00AE5954">
      <w:pPr>
        <w:spacing w:line="360" w:lineRule="auto"/>
        <w:jc w:val="left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研究结果</w:t>
      </w:r>
    </w:p>
    <w:p w14:paraId="0226725E" w14:textId="77777777" w:rsidR="00267644" w:rsidRDefault="00AE5954">
      <w:pPr>
        <w:pStyle w:val="a6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研究患者</w:t>
      </w:r>
    </w:p>
    <w:p w14:paraId="17FE3A99" w14:textId="77777777" w:rsidR="00267644" w:rsidRDefault="00AE5954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（1）从CRITICAL数据库中9822例患者中，纳入260例患者。</w:t>
      </w:r>
    </w:p>
    <w:p w14:paraId="0F1ABDC5" w14:textId="77777777" w:rsidR="00267644" w:rsidRDefault="00AE5954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lastRenderedPageBreak/>
        <w:drawing>
          <wp:inline distT="0" distB="0" distL="0" distR="0" wp14:anchorId="309ED82B" wp14:editId="58D7C3D5">
            <wp:extent cx="5270500" cy="29895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EF7A5" w14:textId="77777777" w:rsidR="00267644" w:rsidRDefault="00267644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sz w:val="24"/>
        </w:rPr>
      </w:pPr>
    </w:p>
    <w:p w14:paraId="5D9F2463" w14:textId="77777777" w:rsidR="00267644" w:rsidRDefault="00AE5954">
      <w:pPr>
        <w:pStyle w:val="a6"/>
        <w:numPr>
          <w:ilvl w:val="0"/>
          <w:numId w:val="4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根据pH值将患者分为均等的三组</w:t>
      </w:r>
    </w:p>
    <w:p w14:paraId="3D43E17F" w14:textId="77777777" w:rsidR="00267644" w:rsidRDefault="00AE5954">
      <w:pPr>
        <w:pStyle w:val="a6"/>
        <w:spacing w:line="360" w:lineRule="auto"/>
        <w:ind w:left="1080"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1组：pH≥7.03</w:t>
      </w:r>
    </w:p>
    <w:p w14:paraId="702E8C3E" w14:textId="77777777" w:rsidR="00267644" w:rsidRDefault="00AE5954">
      <w:pPr>
        <w:pStyle w:val="a6"/>
        <w:spacing w:line="360" w:lineRule="auto"/>
        <w:ind w:left="1080"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2组：pH 7.029-6.875</w:t>
      </w:r>
    </w:p>
    <w:p w14:paraId="44C70ED3" w14:textId="77777777" w:rsidR="00267644" w:rsidRDefault="00AE5954">
      <w:pPr>
        <w:pStyle w:val="a6"/>
        <w:spacing w:line="360" w:lineRule="auto"/>
        <w:ind w:left="1080"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3组：pH ＜6.875</w:t>
      </w:r>
    </w:p>
    <w:p w14:paraId="23908880" w14:textId="77777777" w:rsidR="00267644" w:rsidRDefault="00267644">
      <w:pPr>
        <w:pStyle w:val="a6"/>
        <w:spacing w:line="360" w:lineRule="auto"/>
        <w:ind w:left="1080" w:firstLineChars="0" w:firstLine="0"/>
        <w:jc w:val="left"/>
        <w:rPr>
          <w:rFonts w:ascii="宋体" w:eastAsia="宋体" w:hAnsi="宋体" w:cs="宋体"/>
          <w:sz w:val="24"/>
        </w:rPr>
      </w:pPr>
    </w:p>
    <w:p w14:paraId="7AD153CA" w14:textId="77777777" w:rsidR="00267644" w:rsidRDefault="00AE5954">
      <w:pPr>
        <w:pStyle w:val="a6"/>
        <w:numPr>
          <w:ilvl w:val="0"/>
          <w:numId w:val="4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三组患者资料比较</w:t>
      </w:r>
    </w:p>
    <w:p w14:paraId="4B885C8D" w14:textId="77777777" w:rsidR="00267644" w:rsidRDefault="00AE5954">
      <w:pPr>
        <w:pStyle w:val="a6"/>
        <w:spacing w:line="360" w:lineRule="auto"/>
        <w:ind w:left="1080"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3组患者相比于1组更年轻，其它资料三组无统计学差异。</w:t>
      </w:r>
    </w:p>
    <w:p w14:paraId="495363EA" w14:textId="77777777" w:rsidR="00267644" w:rsidRDefault="00AE5954">
      <w:pPr>
        <w:pStyle w:val="a6"/>
        <w:spacing w:line="360" w:lineRule="auto"/>
        <w:ind w:left="1080"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lastRenderedPageBreak/>
        <w:drawing>
          <wp:inline distT="0" distB="0" distL="0" distR="0" wp14:anchorId="6880B6E4" wp14:editId="2CF533FA">
            <wp:extent cx="5270500" cy="41078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0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CE7EB" w14:textId="77777777" w:rsidR="00267644" w:rsidRDefault="00267644">
      <w:pPr>
        <w:pStyle w:val="a6"/>
        <w:spacing w:line="360" w:lineRule="auto"/>
        <w:ind w:left="1080" w:firstLineChars="0" w:firstLine="0"/>
        <w:jc w:val="left"/>
        <w:rPr>
          <w:rFonts w:ascii="宋体" w:eastAsia="宋体" w:hAnsi="宋体" w:cs="宋体"/>
          <w:sz w:val="24"/>
        </w:rPr>
      </w:pPr>
    </w:p>
    <w:p w14:paraId="18C9E908" w14:textId="77777777" w:rsidR="00267644" w:rsidRDefault="00267644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14:paraId="14FD9666" w14:textId="77777777" w:rsidR="00267644" w:rsidRDefault="00AE5954">
      <w:pPr>
        <w:pStyle w:val="a6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研究结局：</w:t>
      </w:r>
    </w:p>
    <w:p w14:paraId="5F7F8D43" w14:textId="77777777" w:rsidR="00267644" w:rsidRDefault="00AE5954">
      <w:pPr>
        <w:pStyle w:val="a6"/>
        <w:numPr>
          <w:ilvl w:val="0"/>
          <w:numId w:val="5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主要结局(1月生存且神经功能良好)在三组中的发生率分别为：27.9%（1组：pH≥7.03），10.2%（2组：pH 7.029-6.875），9.3%（3组：pH ＜6.875）。</w:t>
      </w:r>
    </w:p>
    <w:p w14:paraId="3B5B24BF" w14:textId="77777777" w:rsidR="00267644" w:rsidRDefault="00AE5954">
      <w:pPr>
        <w:pStyle w:val="a6"/>
        <w:numPr>
          <w:ilvl w:val="0"/>
          <w:numId w:val="5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以1组作为参考，2组、3组的主要结局的粗OR值分别为：0.29 (95% CI 0.13–0.68) 和 0.26 (95% CI 0.11–0.63)。</w:t>
      </w:r>
    </w:p>
    <w:p w14:paraId="329D9252" w14:textId="77777777" w:rsidR="00267644" w:rsidRDefault="00AE5954">
      <w:pPr>
        <w:pStyle w:val="a6"/>
        <w:numPr>
          <w:ilvl w:val="0"/>
          <w:numId w:val="5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以1组作为参考，2组、3组的主要结局的矫正OR值分别为：0.26 (95% CI 0.10–0.63) 和0.24(95% CI 0.09–0.61)。（通过性别、年龄、旁观者目击、旁观者CPR、院前初始心律、入院时心律）</w:t>
      </w:r>
    </w:p>
    <w:p w14:paraId="620332F2" w14:textId="77777777" w:rsidR="00267644" w:rsidRDefault="00AE5954">
      <w:pPr>
        <w:pStyle w:val="a6"/>
        <w:spacing w:line="360" w:lineRule="auto"/>
        <w:ind w:left="1080"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lastRenderedPageBreak/>
        <w:drawing>
          <wp:inline distT="0" distB="0" distL="0" distR="0" wp14:anchorId="55D7CDEB" wp14:editId="530390E1">
            <wp:extent cx="5270500" cy="42443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661FB" w14:textId="77777777" w:rsidR="00267644" w:rsidRDefault="00267644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sz w:val="24"/>
        </w:rPr>
      </w:pPr>
    </w:p>
    <w:p w14:paraId="68A99B85" w14:textId="77777777" w:rsidR="00267644" w:rsidRDefault="00AE5954">
      <w:pPr>
        <w:pStyle w:val="a6"/>
        <w:numPr>
          <w:ilvl w:val="0"/>
          <w:numId w:val="5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pH值对主要结局的预测能力为pH (AUC_ROC) was 0.675 [95% CI 0.573–0.763]。</w:t>
      </w:r>
    </w:p>
    <w:p w14:paraId="5F841156" w14:textId="77777777" w:rsidR="00267644" w:rsidRDefault="00267644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14:paraId="6899FD69" w14:textId="77777777" w:rsidR="00267644" w:rsidRDefault="00AE5954">
      <w:pPr>
        <w:pStyle w:val="a6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神经结局良好的</w:t>
      </w:r>
      <w:proofErr w:type="gramStart"/>
      <w:r>
        <w:rPr>
          <w:rFonts w:ascii="宋体" w:eastAsia="宋体" w:hAnsi="宋体" w:cs="宋体" w:hint="eastAsia"/>
          <w:sz w:val="24"/>
        </w:rPr>
        <w:t>患者患者</w:t>
      </w:r>
      <w:proofErr w:type="gramEnd"/>
      <w:r>
        <w:rPr>
          <w:rFonts w:ascii="宋体" w:eastAsia="宋体" w:hAnsi="宋体" w:cs="宋体" w:hint="eastAsia"/>
          <w:sz w:val="24"/>
        </w:rPr>
        <w:t>特点</w:t>
      </w:r>
    </w:p>
    <w:p w14:paraId="769B97EF" w14:textId="77777777" w:rsidR="00267644" w:rsidRDefault="00AE5954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三组中神经结局良好的特点见表2.2组和3组中神经结局良好的患者更年轻、有旁观目击者、ECPR建立时间更短。</w:t>
      </w:r>
    </w:p>
    <w:p w14:paraId="4A209027" w14:textId="77777777" w:rsidR="00267644" w:rsidRDefault="00AE5954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lastRenderedPageBreak/>
        <w:drawing>
          <wp:inline distT="0" distB="0" distL="0" distR="0" wp14:anchorId="4AD9DFC7" wp14:editId="236ABF8B">
            <wp:extent cx="3324860" cy="267462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1310" cy="267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70A66" w14:textId="77777777" w:rsidR="00267644" w:rsidRDefault="00AE5954">
      <w:pPr>
        <w:pStyle w:val="a6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敏感性分析：</w:t>
      </w:r>
    </w:p>
    <w:p w14:paraId="6666C9E9" w14:textId="77777777" w:rsidR="00267644" w:rsidRDefault="00AE5954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纳入资料不全的患者进行敏感性分析，2组和3组同样和神经结局独立相关。</w:t>
      </w:r>
    </w:p>
    <w:p w14:paraId="582AEC59" w14:textId="77777777" w:rsidR="00267644" w:rsidRDefault="00267644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14:paraId="01B9F9AA" w14:textId="77777777" w:rsidR="00267644" w:rsidRDefault="00AE5954">
      <w:pPr>
        <w:spacing w:line="360" w:lineRule="auto"/>
        <w:jc w:val="left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研究讨论</w:t>
      </w:r>
    </w:p>
    <w:p w14:paraId="56AB8E60" w14:textId="77777777" w:rsidR="00267644" w:rsidRDefault="00AE5954">
      <w:pPr>
        <w:pStyle w:val="a6"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主要发现:</w:t>
      </w:r>
    </w:p>
    <w:p w14:paraId="0E81EBBF" w14:textId="77777777" w:rsidR="00267644" w:rsidRDefault="00AE5954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OHCA患者ECPR前pH值与1月后神经结局良好相关。</w:t>
      </w:r>
    </w:p>
    <w:p w14:paraId="293DB3F6" w14:textId="77777777" w:rsidR="00267644" w:rsidRDefault="00267644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14:paraId="3F2DB956" w14:textId="77777777" w:rsidR="00267644" w:rsidRDefault="00AE5954">
      <w:pPr>
        <w:pStyle w:val="a6"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临床价值：</w:t>
      </w:r>
    </w:p>
    <w:p w14:paraId="582BF155" w14:textId="77777777" w:rsidR="00267644" w:rsidRDefault="00AE5954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（1）血气pH值可作为ECPR决策的参考，对于pH值高于7.03的患者可能预示着更好的结局。血气pH值在临床中容易获得，且检测时间迅速。</w:t>
      </w:r>
    </w:p>
    <w:p w14:paraId="28D62299" w14:textId="77777777" w:rsidR="00267644" w:rsidRDefault="00AE5954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（2）本研究中，一些pH值低的患者同样具有良好的结局，这些患者更年轻、有旁观目击者。这提示在临床中在ECPR决策时，还需要考虑除pH之外的因素。</w:t>
      </w:r>
    </w:p>
    <w:p w14:paraId="39F9FD75" w14:textId="77777777" w:rsidR="00267644" w:rsidRDefault="00267644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</w:rPr>
      </w:pPr>
    </w:p>
    <w:p w14:paraId="467D3BFC" w14:textId="77777777" w:rsidR="00267644" w:rsidRDefault="00AE5954">
      <w:pPr>
        <w:pStyle w:val="a6"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研究局限性：</w:t>
      </w:r>
    </w:p>
    <w:p w14:paraId="4D72FB27" w14:textId="77777777" w:rsidR="00267644" w:rsidRDefault="00AE5954">
      <w:pPr>
        <w:pStyle w:val="a6"/>
        <w:numPr>
          <w:ilvl w:val="0"/>
          <w:numId w:val="7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研究中血气的采血时间和部位（动脉或静脉）不统一，可能存在测量偏倚。</w:t>
      </w:r>
    </w:p>
    <w:p w14:paraId="4F19E162" w14:textId="77777777" w:rsidR="00267644" w:rsidRDefault="00AE5954">
      <w:pPr>
        <w:pStyle w:val="a6"/>
        <w:numPr>
          <w:ilvl w:val="0"/>
          <w:numId w:val="7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样本量有限。</w:t>
      </w:r>
    </w:p>
    <w:p w14:paraId="2EE83AC1" w14:textId="77777777" w:rsidR="00267644" w:rsidRDefault="00AE5954">
      <w:pPr>
        <w:pStyle w:val="a6"/>
        <w:numPr>
          <w:ilvl w:val="0"/>
          <w:numId w:val="7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存在一些未知或无法收集的混杂因素，影响结局。</w:t>
      </w:r>
    </w:p>
    <w:p w14:paraId="1E22C2E6" w14:textId="77777777" w:rsidR="00267644" w:rsidRDefault="00AE5954">
      <w:pPr>
        <w:pStyle w:val="a6"/>
        <w:numPr>
          <w:ilvl w:val="0"/>
          <w:numId w:val="7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ECPR的适应症不统一，存在选择偏倚。</w:t>
      </w:r>
    </w:p>
    <w:p w14:paraId="369BC1A7" w14:textId="77777777" w:rsidR="00267644" w:rsidRDefault="00AE5954">
      <w:pPr>
        <w:pStyle w:val="a6"/>
        <w:numPr>
          <w:ilvl w:val="0"/>
          <w:numId w:val="7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研究来自日本大阪府，可能不适用于其它人群。</w:t>
      </w:r>
    </w:p>
    <w:p w14:paraId="1061042E" w14:textId="77777777" w:rsidR="00267644" w:rsidRDefault="00267644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14:paraId="74EA0A63" w14:textId="77777777" w:rsidR="00267644" w:rsidRDefault="00AE5954">
      <w:pPr>
        <w:spacing w:line="360" w:lineRule="auto"/>
        <w:jc w:val="left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研究结论</w:t>
      </w:r>
    </w:p>
    <w:p w14:paraId="19C834D0" w14:textId="0F7BA362" w:rsidR="00267644" w:rsidRDefault="00AE5954" w:rsidP="006D3F38">
      <w:pPr>
        <w:pStyle w:val="a6"/>
        <w:spacing w:line="360" w:lineRule="auto"/>
        <w:ind w:left="360"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OHCA患者ECPR前pH值（＜7.03）与1月后不良神经结局相关，可能有助于ECPR决策。</w:t>
      </w:r>
    </w:p>
    <w:sectPr w:rsidR="0026764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14C2" w14:textId="77777777" w:rsidR="001444B1" w:rsidRDefault="001444B1" w:rsidP="00742B5D">
      <w:r>
        <w:separator/>
      </w:r>
    </w:p>
  </w:endnote>
  <w:endnote w:type="continuationSeparator" w:id="0">
    <w:p w14:paraId="0008187C" w14:textId="77777777" w:rsidR="001444B1" w:rsidRDefault="001444B1" w:rsidP="0074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16EA" w14:textId="77777777" w:rsidR="001444B1" w:rsidRDefault="001444B1" w:rsidP="00742B5D">
      <w:r>
        <w:separator/>
      </w:r>
    </w:p>
  </w:footnote>
  <w:footnote w:type="continuationSeparator" w:id="0">
    <w:p w14:paraId="13E4DCC1" w14:textId="77777777" w:rsidR="001444B1" w:rsidRDefault="001444B1" w:rsidP="0074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03299"/>
    <w:multiLevelType w:val="multilevel"/>
    <w:tmpl w:val="1560329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4D139F"/>
    <w:multiLevelType w:val="multilevel"/>
    <w:tmpl w:val="524D139F"/>
    <w:lvl w:ilvl="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53720BEC"/>
    <w:multiLevelType w:val="multilevel"/>
    <w:tmpl w:val="53720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1E1C72"/>
    <w:multiLevelType w:val="multilevel"/>
    <w:tmpl w:val="551E1C72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56B70222"/>
    <w:multiLevelType w:val="multilevel"/>
    <w:tmpl w:val="56B7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9931AAF"/>
    <w:multiLevelType w:val="multilevel"/>
    <w:tmpl w:val="59931AAF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77A708B5"/>
    <w:multiLevelType w:val="multilevel"/>
    <w:tmpl w:val="77A708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7E5"/>
    <w:rsid w:val="00001956"/>
    <w:rsid w:val="00016E05"/>
    <w:rsid w:val="000544BD"/>
    <w:rsid w:val="000E0A3D"/>
    <w:rsid w:val="00104640"/>
    <w:rsid w:val="00142A2C"/>
    <w:rsid w:val="001444B1"/>
    <w:rsid w:val="0019662B"/>
    <w:rsid w:val="00220D72"/>
    <w:rsid w:val="00267644"/>
    <w:rsid w:val="00294D72"/>
    <w:rsid w:val="002C48C5"/>
    <w:rsid w:val="00377096"/>
    <w:rsid w:val="003C1A28"/>
    <w:rsid w:val="003F57E5"/>
    <w:rsid w:val="00410CCB"/>
    <w:rsid w:val="006446F8"/>
    <w:rsid w:val="0064786C"/>
    <w:rsid w:val="006858AD"/>
    <w:rsid w:val="00687787"/>
    <w:rsid w:val="006D2BC7"/>
    <w:rsid w:val="006D3F38"/>
    <w:rsid w:val="00741442"/>
    <w:rsid w:val="00742B5D"/>
    <w:rsid w:val="0075233C"/>
    <w:rsid w:val="007D5C9F"/>
    <w:rsid w:val="00824D13"/>
    <w:rsid w:val="00833531"/>
    <w:rsid w:val="00851337"/>
    <w:rsid w:val="00852FE5"/>
    <w:rsid w:val="008A617C"/>
    <w:rsid w:val="009A206D"/>
    <w:rsid w:val="00A909F7"/>
    <w:rsid w:val="00AE0228"/>
    <w:rsid w:val="00AE1BA5"/>
    <w:rsid w:val="00AE5954"/>
    <w:rsid w:val="00AF45F9"/>
    <w:rsid w:val="00B22590"/>
    <w:rsid w:val="00B31C3E"/>
    <w:rsid w:val="00B57D9C"/>
    <w:rsid w:val="00C35F1E"/>
    <w:rsid w:val="00C40380"/>
    <w:rsid w:val="00C727F7"/>
    <w:rsid w:val="00D259DE"/>
    <w:rsid w:val="00D50DB4"/>
    <w:rsid w:val="00DA492D"/>
    <w:rsid w:val="00E9194B"/>
    <w:rsid w:val="00EC2F72"/>
    <w:rsid w:val="00ED195C"/>
    <w:rsid w:val="00ED1F90"/>
    <w:rsid w:val="00F013E8"/>
    <w:rsid w:val="00F966D9"/>
    <w:rsid w:val="00FE7949"/>
    <w:rsid w:val="1F72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EBEA1"/>
  <w15:docId w15:val="{570B0D36-32A8-43AE-8D13-7E435D34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宋体" w:eastAsia="宋体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42B5D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2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42B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ucxu</dc:creator>
  <cp:lastModifiedBy>周 荣华</cp:lastModifiedBy>
  <cp:revision>19</cp:revision>
  <dcterms:created xsi:type="dcterms:W3CDTF">2021-05-19T04:08:00Z</dcterms:created>
  <dcterms:modified xsi:type="dcterms:W3CDTF">2021-06-16T02:43:00Z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