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E5C85" w14:textId="34E6F975" w:rsidR="009211BE" w:rsidRDefault="00CB32B0">
      <w:pPr>
        <w:widowControl/>
        <w:spacing w:after="50" w:line="254" w:lineRule="auto"/>
        <w:ind w:left="-5" w:hanging="10"/>
        <w:jc w:val="center"/>
        <w:rPr>
          <w:rFonts w:ascii="Times New Roman" w:eastAsia="宋体" w:hAnsi="Times New Roman" w:cs="宋体"/>
          <w:b/>
          <w:bCs/>
          <w:color w:val="000000"/>
          <w:sz w:val="30"/>
          <w:szCs w:val="30"/>
        </w:rPr>
      </w:pPr>
      <w:r>
        <w:rPr>
          <w:rFonts w:ascii="Times New Roman" w:eastAsia="宋体" w:hAnsi="Times New Roman" w:cs="宋体" w:hint="eastAsia"/>
          <w:b/>
          <w:bCs/>
          <w:color w:val="000000"/>
          <w:sz w:val="30"/>
          <w:szCs w:val="30"/>
        </w:rPr>
        <w:t>接受</w:t>
      </w:r>
      <w:r w:rsidR="00446D28">
        <w:rPr>
          <w:rFonts w:ascii="Times New Roman" w:eastAsia="宋体" w:hAnsi="Times New Roman" w:cs="宋体" w:hint="eastAsia"/>
          <w:b/>
          <w:bCs/>
          <w:color w:val="000000"/>
          <w:sz w:val="30"/>
          <w:szCs w:val="30"/>
        </w:rPr>
        <w:t>E</w:t>
      </w:r>
      <w:r w:rsidR="00446D28">
        <w:rPr>
          <w:rFonts w:ascii="Times New Roman" w:eastAsia="宋体" w:hAnsi="Times New Roman" w:cs="宋体"/>
          <w:b/>
          <w:bCs/>
          <w:color w:val="000000"/>
          <w:sz w:val="30"/>
          <w:szCs w:val="30"/>
        </w:rPr>
        <w:t>CPR</w:t>
      </w:r>
      <w:r>
        <w:rPr>
          <w:rFonts w:ascii="Times New Roman" w:eastAsia="宋体" w:hAnsi="Times New Roman" w:cs="宋体" w:hint="eastAsia"/>
          <w:b/>
          <w:bCs/>
          <w:color w:val="000000"/>
          <w:sz w:val="30"/>
          <w:szCs w:val="30"/>
        </w:rPr>
        <w:t>患者的神经系统预后</w:t>
      </w:r>
    </w:p>
    <w:p w14:paraId="3B52DFC5" w14:textId="1BFCC54A" w:rsidR="00AB4A8B" w:rsidRPr="00446D28" w:rsidRDefault="00AB4A8B">
      <w:pPr>
        <w:widowControl/>
        <w:spacing w:after="50" w:line="254" w:lineRule="auto"/>
        <w:ind w:left="-5" w:hanging="10"/>
        <w:jc w:val="center"/>
        <w:rPr>
          <w:rFonts w:ascii="Times New Roman" w:eastAsia="宋体" w:hAnsi="Times New Roman" w:cs="Times New Roman"/>
          <w:b/>
          <w:bCs/>
          <w:color w:val="000000"/>
          <w:sz w:val="30"/>
          <w:szCs w:val="30"/>
        </w:rPr>
      </w:pPr>
    </w:p>
    <w:p w14:paraId="5510064C" w14:textId="3B68D283" w:rsidR="009211BE" w:rsidRDefault="00EF347C" w:rsidP="001008B4">
      <w:pPr>
        <w:spacing w:line="276" w:lineRule="auto"/>
        <w:rPr>
          <w:rFonts w:ascii="Times New Roman" w:eastAsia="宋体" w:hAnsi="Times New Roman"/>
          <w:sz w:val="24"/>
          <w:szCs w:val="24"/>
        </w:rPr>
      </w:pPr>
      <w:r>
        <w:rPr>
          <w:rFonts w:ascii="Times New Roman" w:eastAsia="宋体" w:hAnsi="Times New Roman" w:hint="eastAsia"/>
          <w:sz w:val="24"/>
          <w:szCs w:val="24"/>
        </w:rPr>
        <w:t>翻译：</w:t>
      </w:r>
      <w:r w:rsidR="00CB32B0">
        <w:rPr>
          <w:rFonts w:ascii="Times New Roman" w:eastAsia="宋体" w:hAnsi="Times New Roman" w:hint="eastAsia"/>
          <w:sz w:val="24"/>
          <w:szCs w:val="24"/>
        </w:rPr>
        <w:t>秦建华</w:t>
      </w:r>
      <w:r w:rsidR="00156943">
        <w:rPr>
          <w:rFonts w:ascii="Times New Roman" w:eastAsia="宋体" w:hAnsi="Times New Roman" w:hint="eastAsia"/>
          <w:sz w:val="24"/>
          <w:szCs w:val="24"/>
        </w:rPr>
        <w:t xml:space="preserve"> </w:t>
      </w:r>
      <w:r w:rsidR="00156943" w:rsidRPr="00156943">
        <w:rPr>
          <w:rFonts w:ascii="Times New Roman" w:eastAsia="宋体" w:hAnsi="Times New Roman" w:hint="eastAsia"/>
          <w:sz w:val="24"/>
          <w:szCs w:val="24"/>
        </w:rPr>
        <w:t>新疆自治区人民医院</w:t>
      </w:r>
    </w:p>
    <w:p w14:paraId="578845B9" w14:textId="66F23A3C" w:rsidR="00EF347C" w:rsidRDefault="00EF347C" w:rsidP="001008B4">
      <w:pPr>
        <w:spacing w:line="276" w:lineRule="auto"/>
        <w:rPr>
          <w:rFonts w:ascii="Times New Roman" w:eastAsia="宋体" w:hAnsi="Times New Roman"/>
          <w:sz w:val="24"/>
          <w:szCs w:val="24"/>
        </w:rPr>
      </w:pPr>
      <w:r>
        <w:rPr>
          <w:rFonts w:ascii="Times New Roman" w:eastAsia="宋体" w:hAnsi="Times New Roman" w:hint="eastAsia"/>
          <w:sz w:val="24"/>
          <w:szCs w:val="24"/>
        </w:rPr>
        <w:t>审校：</w:t>
      </w:r>
      <w:proofErr w:type="gramStart"/>
      <w:r>
        <w:rPr>
          <w:rFonts w:ascii="Times New Roman" w:eastAsia="宋体" w:hAnsi="Times New Roman" w:hint="eastAsia"/>
          <w:sz w:val="24"/>
          <w:szCs w:val="24"/>
        </w:rPr>
        <w:t>郝</w:t>
      </w:r>
      <w:proofErr w:type="gramEnd"/>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hint="eastAsia"/>
          <w:sz w:val="24"/>
          <w:szCs w:val="24"/>
        </w:rPr>
        <w:t>星</w:t>
      </w:r>
      <w:r>
        <w:rPr>
          <w:rFonts w:ascii="Times New Roman" w:eastAsia="宋体" w:hAnsi="Times New Roman" w:hint="eastAsia"/>
          <w:sz w:val="24"/>
          <w:szCs w:val="24"/>
        </w:rPr>
        <w:t xml:space="preserve"> </w:t>
      </w:r>
      <w:r>
        <w:rPr>
          <w:rFonts w:ascii="Times New Roman" w:eastAsia="宋体" w:hAnsi="Times New Roman" w:hint="eastAsia"/>
          <w:sz w:val="24"/>
          <w:szCs w:val="24"/>
        </w:rPr>
        <w:t>首都医科大学附属北京安贞医院</w:t>
      </w:r>
    </w:p>
    <w:p w14:paraId="71C7CEAA" w14:textId="19504818" w:rsidR="001F6F5C" w:rsidRDefault="001F6F5C">
      <w:pPr>
        <w:jc w:val="center"/>
        <w:rPr>
          <w:rFonts w:ascii="Times New Roman" w:eastAsia="宋体" w:hAnsi="Times New Roman"/>
          <w:sz w:val="24"/>
          <w:szCs w:val="24"/>
        </w:rPr>
      </w:pPr>
    </w:p>
    <w:p w14:paraId="37EA8FC5" w14:textId="77777777" w:rsidR="001F6F5C" w:rsidRDefault="001F6F5C">
      <w:pPr>
        <w:jc w:val="center"/>
        <w:rPr>
          <w:rFonts w:ascii="Times New Roman" w:eastAsia="宋体" w:hAnsi="Times New Roman"/>
          <w:sz w:val="24"/>
          <w:szCs w:val="24"/>
        </w:rPr>
      </w:pPr>
    </w:p>
    <w:p w14:paraId="0538E9E6" w14:textId="32B4DC79" w:rsidR="001F6F5C" w:rsidRPr="001008B4" w:rsidRDefault="001F6F5C">
      <w:pPr>
        <w:spacing w:line="360" w:lineRule="auto"/>
        <w:rPr>
          <w:rFonts w:ascii="宋体" w:eastAsia="宋体" w:hAnsi="宋体" w:cs="宋体"/>
          <w:b/>
          <w:bCs/>
          <w:color w:val="000000"/>
          <w:sz w:val="28"/>
          <w:szCs w:val="28"/>
        </w:rPr>
      </w:pPr>
      <w:r w:rsidRPr="001008B4">
        <w:rPr>
          <w:rFonts w:ascii="宋体" w:eastAsia="宋体" w:hAnsi="宋体" w:cs="宋体" w:hint="eastAsia"/>
          <w:b/>
          <w:bCs/>
          <w:color w:val="000000"/>
          <w:sz w:val="28"/>
          <w:szCs w:val="28"/>
        </w:rPr>
        <w:t>【摘要】</w:t>
      </w:r>
    </w:p>
    <w:p w14:paraId="2791E332" w14:textId="4DF9C59D" w:rsidR="009211BE" w:rsidRDefault="00CB32B0">
      <w:pPr>
        <w:spacing w:line="360" w:lineRule="auto"/>
        <w:rPr>
          <w:rFonts w:ascii="宋体" w:eastAsia="宋体" w:hAnsi="宋体" w:cs="宋体"/>
          <w:color w:val="000000"/>
          <w:sz w:val="24"/>
          <w:szCs w:val="24"/>
        </w:rPr>
      </w:pPr>
      <w:r>
        <w:rPr>
          <w:rFonts w:ascii="宋体" w:eastAsia="宋体" w:hAnsi="宋体" w:cs="宋体" w:hint="eastAsia"/>
          <w:b/>
          <w:bCs/>
          <w:color w:val="000000"/>
          <w:sz w:val="24"/>
          <w:szCs w:val="24"/>
        </w:rPr>
        <w:t>背景：</w:t>
      </w:r>
      <w:r>
        <w:rPr>
          <w:rFonts w:ascii="宋体" w:eastAsia="宋体" w:hAnsi="宋体" w:cs="宋体" w:hint="eastAsia"/>
          <w:color w:val="000000"/>
          <w:sz w:val="24"/>
          <w:szCs w:val="24"/>
        </w:rPr>
        <w:t>本研究旨在建立</w:t>
      </w:r>
      <w:r w:rsidR="00FE0FC5">
        <w:rPr>
          <w:rFonts w:ascii="宋体" w:eastAsia="宋体" w:hAnsi="宋体" w:cs="宋体" w:hint="eastAsia"/>
          <w:color w:val="000000"/>
          <w:sz w:val="24"/>
          <w:szCs w:val="24"/>
        </w:rPr>
        <w:t>体外心肺复苏</w:t>
      </w:r>
      <w:r>
        <w:rPr>
          <w:rFonts w:ascii="宋体" w:eastAsia="宋体" w:hAnsi="宋体" w:cs="宋体" w:hint="eastAsia"/>
          <w:color w:val="000000"/>
          <w:sz w:val="24"/>
          <w:szCs w:val="24"/>
        </w:rPr>
        <w:t>(ECPR)患者神经系统预后的风险预测模型。</w:t>
      </w:r>
    </w:p>
    <w:p w14:paraId="22C5C44A" w14:textId="77777777" w:rsidR="009211BE" w:rsidRDefault="00CB32B0">
      <w:pPr>
        <w:spacing w:line="360" w:lineRule="auto"/>
        <w:rPr>
          <w:rFonts w:ascii="宋体" w:eastAsia="宋体" w:hAnsi="宋体" w:cs="宋体"/>
          <w:color w:val="000000"/>
          <w:sz w:val="24"/>
          <w:szCs w:val="24"/>
        </w:rPr>
      </w:pPr>
      <w:r>
        <w:rPr>
          <w:rFonts w:ascii="宋体" w:eastAsia="宋体" w:hAnsi="宋体" w:cs="宋体" w:hint="eastAsia"/>
          <w:b/>
          <w:bCs/>
          <w:color w:val="000000"/>
          <w:sz w:val="24"/>
          <w:szCs w:val="24"/>
        </w:rPr>
        <w:t>方法：</w:t>
      </w:r>
      <w:r>
        <w:rPr>
          <w:rFonts w:ascii="宋体" w:eastAsia="宋体" w:hAnsi="宋体" w:cs="宋体" w:hint="eastAsia"/>
          <w:color w:val="000000"/>
          <w:sz w:val="24"/>
          <w:szCs w:val="24"/>
        </w:rPr>
        <w:t>在2004年5月至2016年4月期间，共有274名接受ECPR的患者被纳入此项研究。主要结果是出院时的神经状态，通过脑功能分级(CPC)量表进行评估。在Logistic回归分析的基础上，采用了向后逐步消除法和基于z-score的评分方案来开发一种新的预测评分系统。</w:t>
      </w:r>
    </w:p>
    <w:p w14:paraId="18081D88" w14:textId="77777777" w:rsidR="009211BE" w:rsidRDefault="00CB32B0">
      <w:pPr>
        <w:spacing w:line="360" w:lineRule="auto"/>
        <w:rPr>
          <w:rFonts w:ascii="宋体" w:eastAsia="宋体" w:hAnsi="宋体" w:cs="宋体"/>
          <w:color w:val="000000"/>
          <w:sz w:val="24"/>
          <w:szCs w:val="24"/>
        </w:rPr>
      </w:pPr>
      <w:r>
        <w:rPr>
          <w:rFonts w:ascii="宋体" w:eastAsia="宋体" w:hAnsi="宋体" w:cs="宋体" w:hint="eastAsia"/>
          <w:b/>
          <w:bCs/>
          <w:color w:val="000000"/>
          <w:sz w:val="24"/>
          <w:szCs w:val="24"/>
        </w:rPr>
        <w:t>结果：</w:t>
      </w:r>
      <w:r>
        <w:rPr>
          <w:rFonts w:ascii="宋体" w:eastAsia="宋体" w:hAnsi="宋体" w:cs="宋体" w:hint="eastAsia"/>
          <w:color w:val="000000"/>
          <w:sz w:val="24"/>
          <w:szCs w:val="24"/>
        </w:rPr>
        <w:t>共有95例(34.7%)患者存活至出院。在这些患者中，78名患者(28.5%)具有良好的神经系统功能预后(CPC评分为1或2分)。在多因素Logistic回归分析中，年龄＞65岁、初始序贯器官衰竭评分＞13分、</w:t>
      </w:r>
      <w:r w:rsidRPr="00BF5A0F">
        <w:rPr>
          <w:rFonts w:ascii="宋体" w:eastAsia="宋体" w:hAnsi="宋体" w:cs="宋体" w:hint="eastAsia"/>
          <w:color w:val="000000"/>
          <w:sz w:val="24"/>
          <w:szCs w:val="24"/>
        </w:rPr>
        <w:t>首次监测到的停搏节律</w:t>
      </w:r>
      <w:r>
        <w:rPr>
          <w:rFonts w:ascii="宋体" w:eastAsia="宋体" w:hAnsi="宋体" w:cs="宋体" w:hint="eastAsia"/>
          <w:color w:val="000000"/>
          <w:sz w:val="24"/>
          <w:szCs w:val="24"/>
        </w:rPr>
        <w:t>、低血流量时间＞30min、初始脉压＜25 mmHg、初始平均动脉压＜70 mmHg、血糖＞300 mg/dL是神经功能不良的显著预测因素，对预后有显著影响的因素有：年龄＞65岁、初始序贯器官衰竭评分＞13分、首次监测停搏节律、低血流量时间＞30min、初始平均动脉压＜70 mmHg、血糖＞300 mg/dL。年龄和低血流量时间之间也存在显著的交互作用。新制定的心肺复苏后神经系统预后评分(NECPR)预测不良神经系统预后(C统计量，0.867；95%可信区间，0.823~0.912)优于先前的ECPR评分(p=0.019)和动静脉ECMO评分(p＜0.001)。</w:t>
      </w:r>
    </w:p>
    <w:p w14:paraId="0A61AB4C" w14:textId="77777777" w:rsidR="009211BE" w:rsidRDefault="00CB32B0">
      <w:pPr>
        <w:spacing w:line="360" w:lineRule="auto"/>
        <w:rPr>
          <w:rFonts w:ascii="宋体" w:eastAsia="宋体" w:hAnsi="宋体" w:cs="宋体"/>
          <w:color w:val="000000"/>
          <w:sz w:val="24"/>
          <w:szCs w:val="24"/>
        </w:rPr>
      </w:pPr>
      <w:r>
        <w:rPr>
          <w:rFonts w:ascii="宋体" w:eastAsia="宋体" w:hAnsi="宋体" w:cs="宋体" w:hint="eastAsia"/>
          <w:b/>
          <w:bCs/>
          <w:color w:val="000000"/>
          <w:sz w:val="24"/>
          <w:szCs w:val="24"/>
        </w:rPr>
        <w:t>结论：</w:t>
      </w:r>
      <w:r>
        <w:rPr>
          <w:rFonts w:ascii="宋体" w:eastAsia="宋体" w:hAnsi="宋体" w:cs="宋体" w:hint="eastAsia"/>
          <w:color w:val="000000"/>
          <w:sz w:val="24"/>
          <w:szCs w:val="24"/>
        </w:rPr>
        <w:t>研究者使用独立的预测因子以及年龄与低血流量时间之间的相互作用创建了一个神经预后风险预测模型，这个新的评分系统可以更有效地预测接受ECPR治疗患者的早期神经预后。它可能有助于指导重症医生、心血管外科医生或心脏病学家在ECPR治疗中的决策。</w:t>
      </w:r>
    </w:p>
    <w:p w14:paraId="550FF54F" w14:textId="77777777" w:rsidR="009211BE" w:rsidRDefault="009211BE">
      <w:pPr>
        <w:spacing w:line="360" w:lineRule="auto"/>
        <w:ind w:firstLineChars="200" w:firstLine="480"/>
        <w:rPr>
          <w:rFonts w:ascii="宋体" w:eastAsia="宋体" w:hAnsi="宋体" w:cs="宋体"/>
          <w:color w:val="000000"/>
          <w:sz w:val="24"/>
          <w:szCs w:val="24"/>
        </w:rPr>
      </w:pPr>
    </w:p>
    <w:p w14:paraId="6042B941" w14:textId="4A393EA3" w:rsidR="009211BE" w:rsidRPr="001008B4" w:rsidRDefault="00E236F0" w:rsidP="001008B4">
      <w:pPr>
        <w:spacing w:line="360" w:lineRule="auto"/>
        <w:rPr>
          <w:rFonts w:ascii="宋体" w:eastAsia="宋体" w:hAnsi="宋体" w:cs="宋体"/>
          <w:b/>
          <w:bCs/>
          <w:color w:val="000000"/>
          <w:sz w:val="28"/>
          <w:szCs w:val="28"/>
        </w:rPr>
      </w:pPr>
      <w:r w:rsidRPr="001008B4">
        <w:rPr>
          <w:rFonts w:ascii="宋体" w:eastAsia="宋体" w:hAnsi="宋体" w:cs="宋体" w:hint="eastAsia"/>
          <w:b/>
          <w:bCs/>
          <w:color w:val="000000"/>
          <w:sz w:val="28"/>
          <w:szCs w:val="28"/>
        </w:rPr>
        <w:t>前言</w:t>
      </w:r>
    </w:p>
    <w:p w14:paraId="7AC9DF7B" w14:textId="03E6DDDA" w:rsidR="009211BE" w:rsidRDefault="00CB32B0">
      <w:pPr>
        <w:spacing w:line="360" w:lineRule="auto"/>
        <w:ind w:firstLineChars="200" w:firstLine="480"/>
        <w:rPr>
          <w:rFonts w:ascii="宋体" w:eastAsia="宋体" w:hAnsi="宋体" w:cs="宋体"/>
          <w:color w:val="000000"/>
          <w:sz w:val="24"/>
          <w:szCs w:val="24"/>
        </w:rPr>
      </w:pPr>
      <w:r w:rsidRPr="002E0505">
        <w:rPr>
          <w:rFonts w:ascii="宋体" w:eastAsia="宋体" w:hAnsi="宋体" w:cs="宋体" w:hint="eastAsia"/>
          <w:color w:val="000000"/>
          <w:sz w:val="24"/>
          <w:szCs w:val="24"/>
        </w:rPr>
        <w:t>神经系统预后是心脏骤停患者存活后最重要的问题。在以往的体外常规心肺</w:t>
      </w:r>
      <w:r w:rsidRPr="002E0505">
        <w:rPr>
          <w:rFonts w:ascii="宋体" w:eastAsia="宋体" w:hAnsi="宋体" w:cs="宋体" w:hint="eastAsia"/>
          <w:color w:val="000000"/>
          <w:sz w:val="24"/>
          <w:szCs w:val="24"/>
        </w:rPr>
        <w:lastRenderedPageBreak/>
        <w:t>复苏</w:t>
      </w:r>
      <w:r w:rsidRPr="002E0505">
        <w:rPr>
          <w:rFonts w:ascii="宋体" w:eastAsia="宋体" w:hAnsi="宋体" w:cs="宋体"/>
          <w:color w:val="000000"/>
          <w:sz w:val="24"/>
          <w:szCs w:val="24"/>
        </w:rPr>
        <w:t>(ECPR)</w:t>
      </w:r>
      <w:r w:rsidRPr="002E0505">
        <w:rPr>
          <w:rFonts w:ascii="宋体" w:eastAsia="宋体" w:hAnsi="宋体" w:cs="宋体" w:hint="eastAsia"/>
          <w:color w:val="000000"/>
          <w:sz w:val="24"/>
          <w:szCs w:val="24"/>
        </w:rPr>
        <w:t>研究中，已经有多种预测死亡率的因素的报道，但有关</w:t>
      </w:r>
      <w:r w:rsidRPr="002E0505">
        <w:rPr>
          <w:rFonts w:ascii="宋体" w:eastAsia="宋体" w:hAnsi="宋体" w:cs="宋体"/>
          <w:color w:val="000000"/>
          <w:sz w:val="24"/>
          <w:szCs w:val="24"/>
        </w:rPr>
        <w:t>ECPR</w:t>
      </w:r>
      <w:r w:rsidRPr="002E0505">
        <w:rPr>
          <w:rFonts w:ascii="宋体" w:eastAsia="宋体" w:hAnsi="宋体" w:cs="宋体" w:hint="eastAsia"/>
          <w:color w:val="000000"/>
          <w:sz w:val="24"/>
          <w:szCs w:val="24"/>
        </w:rPr>
        <w:t>后神经系统预后的数据仍然有限。</w:t>
      </w:r>
    </w:p>
    <w:p w14:paraId="72A0C82D" w14:textId="54396956" w:rsidR="009211BE" w:rsidRDefault="00CB32B0" w:rsidP="001008B4">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神经系统预后取决于脑血流量(CBF)，良好的预后需要迅速恢复体循环和氧合，以满足大脑对氧的需求。通常，心脏骤停复苏患者的脑血流量变化是自动调节的。然而，在ECPR的条件下，很难预测</w:t>
      </w:r>
      <w:r w:rsidR="00C3727A">
        <w:rPr>
          <w:rFonts w:ascii="宋体" w:eastAsia="宋体" w:hAnsi="宋体" w:cs="宋体" w:hint="eastAsia"/>
          <w:color w:val="000000"/>
          <w:sz w:val="24"/>
          <w:szCs w:val="24"/>
        </w:rPr>
        <w:t>体外膜氧合</w:t>
      </w:r>
      <w:r>
        <w:rPr>
          <w:rFonts w:ascii="宋体" w:eastAsia="宋体" w:hAnsi="宋体" w:cs="宋体" w:hint="eastAsia"/>
          <w:color w:val="000000"/>
          <w:sz w:val="24"/>
          <w:szCs w:val="24"/>
        </w:rPr>
        <w:t>(ECMO)中多高的持续氧流量对CBF氧合的自动调节会产生影响。此外，神经系统预后可能受到心肺功能恢复时间、ECMO支持</w:t>
      </w:r>
      <w:r w:rsidR="00C3727A">
        <w:rPr>
          <w:rFonts w:ascii="宋体" w:eastAsia="宋体" w:hAnsi="宋体" w:cs="宋体" w:hint="eastAsia"/>
          <w:color w:val="000000"/>
          <w:sz w:val="24"/>
          <w:szCs w:val="24"/>
        </w:rPr>
        <w:t>流</w:t>
      </w:r>
      <w:r>
        <w:rPr>
          <w:rFonts w:ascii="宋体" w:eastAsia="宋体" w:hAnsi="宋体" w:cs="宋体" w:hint="eastAsia"/>
          <w:color w:val="000000"/>
          <w:sz w:val="24"/>
          <w:szCs w:val="24"/>
        </w:rPr>
        <w:t>量和CBF自动调节的影响。在接受ECPR的患者中，低血流量时间与更高的死亡率和更</w:t>
      </w:r>
      <w:r w:rsidR="00C3727A">
        <w:rPr>
          <w:rFonts w:ascii="宋体" w:eastAsia="宋体" w:hAnsi="宋体" w:cs="宋体" w:hint="eastAsia"/>
          <w:color w:val="000000"/>
          <w:sz w:val="24"/>
          <w:szCs w:val="24"/>
        </w:rPr>
        <w:t>差</w:t>
      </w:r>
      <w:r>
        <w:rPr>
          <w:rFonts w:ascii="宋体" w:eastAsia="宋体" w:hAnsi="宋体" w:cs="宋体" w:hint="eastAsia"/>
          <w:color w:val="000000"/>
          <w:sz w:val="24"/>
          <w:szCs w:val="24"/>
        </w:rPr>
        <w:t>的神经系统预后有关。心脏骤停后的低血流量持续时间和神经系统预后方面也存在年龄差异。虽然我们建立了一种ECPR后死亡率的风险预测模型，但在以前的ECPR后死亡率数据中并没有出现这种相互作用。因此，我们认真考虑了ECPR后存活患者的神经预后与其他临床因素的相互作用。我们相信这个新的评分系统将更有效地预测ECPR治疗患者的早期神经预后，并有助于指导重症医生、心血管外科医生或心脏病学家在ECPR治疗中的有效决策。因此，我们基于多种神经学预测因子建立了一种改进的神经系统预后风险预测模型，同时考虑了接受ECPR治疗患者的不同临床和人口统计学变量之间的相互作用。</w:t>
      </w:r>
    </w:p>
    <w:p w14:paraId="1D2C6D5F" w14:textId="77777777" w:rsidR="009211BE" w:rsidRDefault="009211BE">
      <w:pPr>
        <w:spacing w:line="360" w:lineRule="auto"/>
        <w:rPr>
          <w:rFonts w:ascii="宋体" w:eastAsia="宋体" w:hAnsi="宋体" w:cs="宋体"/>
          <w:color w:val="000000"/>
          <w:sz w:val="24"/>
          <w:szCs w:val="24"/>
        </w:rPr>
      </w:pPr>
    </w:p>
    <w:p w14:paraId="4C6C9546" w14:textId="77777777" w:rsidR="009211BE" w:rsidRPr="001008B4" w:rsidRDefault="00CB32B0">
      <w:pPr>
        <w:spacing w:line="360" w:lineRule="auto"/>
        <w:rPr>
          <w:rFonts w:ascii="宋体" w:eastAsia="宋体" w:hAnsi="宋体" w:cs="宋体"/>
          <w:b/>
          <w:bCs/>
          <w:color w:val="000000"/>
          <w:sz w:val="28"/>
          <w:szCs w:val="28"/>
        </w:rPr>
      </w:pPr>
      <w:r w:rsidRPr="001008B4">
        <w:rPr>
          <w:rFonts w:ascii="宋体" w:eastAsia="宋体" w:hAnsi="宋体" w:cs="宋体" w:hint="eastAsia"/>
          <w:b/>
          <w:bCs/>
          <w:color w:val="000000"/>
          <w:sz w:val="28"/>
          <w:szCs w:val="28"/>
        </w:rPr>
        <w:t>患者与方法</w:t>
      </w:r>
    </w:p>
    <w:p w14:paraId="7CA78E5F" w14:textId="77777777" w:rsidR="009211BE" w:rsidRDefault="00CB32B0">
      <w:pPr>
        <w:spacing w:line="360" w:lineRule="auto"/>
        <w:rPr>
          <w:rFonts w:ascii="宋体" w:eastAsia="宋体" w:hAnsi="宋体" w:cs="宋体"/>
          <w:b/>
          <w:bCs/>
          <w:color w:val="000000"/>
          <w:sz w:val="24"/>
          <w:szCs w:val="24"/>
        </w:rPr>
      </w:pPr>
      <w:r>
        <w:rPr>
          <w:rFonts w:ascii="宋体" w:eastAsia="宋体" w:hAnsi="宋体" w:cs="宋体" w:hint="eastAsia"/>
          <w:b/>
          <w:bCs/>
          <w:color w:val="000000"/>
          <w:sz w:val="24"/>
          <w:szCs w:val="24"/>
        </w:rPr>
        <w:t>研究对象</w:t>
      </w:r>
    </w:p>
    <w:p w14:paraId="430DBA96" w14:textId="47113642" w:rsidR="009211BE" w:rsidRDefault="00CB32B0" w:rsidP="001008B4">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这是一项回顾性、单中心、观察性研究，研究对象为2004年5月至2016年4月在住院期间接受ECPR治疗的成人患者。这项研究得到了韩国首尔三星医疗中心机构审查委员会的批准。由于研究是一项回顾性研究，因此不适用知情同意的要求。由经过培训的研究协调员使用标准化病例报告表收集临床和实验室数据。所有在研究期间持续接受ECPR的患者均被认为符合本项研究的条件。排除18岁以下的患者，预期寿命小于1年的恶性肿瘤患者，缺失病历记录的患者，以及入院时有头部外伤史或慢性神经系统功能异常的重症监护患者。最终，本研究纳入了274名通过动静脉</w:t>
      </w:r>
      <w:r w:rsidR="007A497A">
        <w:rPr>
          <w:rFonts w:ascii="宋体" w:eastAsia="宋体" w:hAnsi="宋体" w:cs="宋体" w:hint="eastAsia"/>
          <w:color w:val="000000"/>
          <w:sz w:val="24"/>
          <w:szCs w:val="24"/>
        </w:rPr>
        <w:t>（V</w:t>
      </w:r>
      <w:r w:rsidR="007A497A">
        <w:rPr>
          <w:rFonts w:ascii="宋体" w:eastAsia="宋体" w:hAnsi="宋体" w:cs="宋体"/>
          <w:color w:val="000000"/>
          <w:sz w:val="24"/>
          <w:szCs w:val="24"/>
        </w:rPr>
        <w:t>A</w:t>
      </w:r>
      <w:r w:rsidR="007A497A">
        <w:rPr>
          <w:rFonts w:ascii="宋体" w:eastAsia="宋体" w:hAnsi="宋体" w:cs="宋体" w:hint="eastAsia"/>
          <w:color w:val="000000"/>
          <w:sz w:val="24"/>
          <w:szCs w:val="24"/>
        </w:rPr>
        <w:t>）</w:t>
      </w:r>
      <w:r>
        <w:rPr>
          <w:rFonts w:ascii="宋体" w:eastAsia="宋体" w:hAnsi="宋体" w:cs="宋体" w:hint="eastAsia"/>
          <w:color w:val="000000"/>
          <w:sz w:val="24"/>
          <w:szCs w:val="24"/>
        </w:rPr>
        <w:t>ECMO治疗的心脏骤停患者(图1)。</w:t>
      </w:r>
    </w:p>
    <w:p w14:paraId="0F3CB787" w14:textId="219D9689" w:rsidR="009211BE" w:rsidRDefault="00191E4C">
      <w:pPr>
        <w:spacing w:after="301" w:line="360" w:lineRule="auto"/>
        <w:ind w:left="-5"/>
        <w:jc w:val="left"/>
        <w:rPr>
          <w:rFonts w:ascii="宋体" w:eastAsia="宋体" w:hAnsi="宋体" w:cs="宋体"/>
          <w:color w:val="000000"/>
          <w:sz w:val="24"/>
          <w:szCs w:val="24"/>
        </w:rPr>
      </w:pPr>
      <w:r w:rsidRPr="00191E4C">
        <w:rPr>
          <w:rFonts w:ascii="宋体" w:eastAsia="宋体" w:hAnsi="宋体" w:cs="宋体"/>
          <w:noProof/>
          <w:color w:val="000000"/>
          <w:sz w:val="24"/>
          <w:szCs w:val="24"/>
        </w:rPr>
        <w:lastRenderedPageBreak/>
        <mc:AlternateContent>
          <mc:Choice Requires="wps">
            <w:drawing>
              <wp:anchor distT="45720" distB="45720" distL="114300" distR="114300" simplePos="0" relativeHeight="251660288" behindDoc="0" locked="0" layoutInCell="1" allowOverlap="1" wp14:anchorId="249429DC" wp14:editId="04F93653">
                <wp:simplePos x="0" y="0"/>
                <wp:positionH relativeFrom="column">
                  <wp:posOffset>1583055</wp:posOffset>
                </wp:positionH>
                <wp:positionV relativeFrom="paragraph">
                  <wp:posOffset>0</wp:posOffset>
                </wp:positionV>
                <wp:extent cx="2861945" cy="2511425"/>
                <wp:effectExtent l="0" t="0" r="0" b="3175"/>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511425"/>
                        </a:xfrm>
                        <a:prstGeom prst="rect">
                          <a:avLst/>
                        </a:prstGeom>
                        <a:noFill/>
                        <a:ln w="9525">
                          <a:noFill/>
                          <a:miter lim="800000"/>
                          <a:headEnd/>
                          <a:tailEnd/>
                        </a:ln>
                      </wps:spPr>
                      <wps:txbx>
                        <w:txbxContent>
                          <w:p w14:paraId="1E3C04B5" w14:textId="4D9B28B0" w:rsidR="00191E4C" w:rsidRDefault="00191E4C">
                            <w:r>
                              <w:rPr>
                                <w:noProof/>
                              </w:rPr>
                              <w:drawing>
                                <wp:inline distT="0" distB="0" distL="0" distR="0" wp14:anchorId="1961A0FC" wp14:editId="43453D02">
                                  <wp:extent cx="2467570" cy="215512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extLst>
                                              <a:ext uri="{28A0092B-C50C-407E-A947-70E740481C1C}">
                                                <a14:useLocalDpi xmlns:a14="http://schemas.microsoft.com/office/drawing/2010/main" val="0"/>
                                              </a:ext>
                                            </a:extLst>
                                          </a:blip>
                                          <a:srcRect/>
                                          <a:stretch>
                                            <a:fillRect/>
                                          </a:stretch>
                                        </pic:blipFill>
                                        <pic:spPr>
                                          <a:xfrm>
                                            <a:off x="0" y="0"/>
                                            <a:ext cx="2467570" cy="2155128"/>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9429DC" id="_x0000_t202" coordsize="21600,21600" o:spt="202" path="m,l,21600r21600,l21600,xe">
                <v:stroke joinstyle="miter"/>
                <v:path gradientshapeok="t" o:connecttype="rect"/>
              </v:shapetype>
              <v:shape id="文本框 2" o:spid="_x0000_s1026" type="#_x0000_t202" style="position:absolute;left:0;text-align:left;margin-left:124.65pt;margin-top:0;width:225.35pt;height:19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" filled="f" stroked="f">
                <v:textbox>
                  <w:txbxContent>
                    <w:p w14:paraId="1E3C04B5" w14:textId="4D9B28B0" w:rsidR="00191E4C" w:rsidRDefault="00191E4C">
                      <w:r>
                        <w:rPr>
                          <w:noProof/>
                        </w:rPr>
                        <w:drawing>
                          <wp:inline distT="0" distB="0" distL="0" distR="0" wp14:anchorId="1961A0FC" wp14:editId="43453D02">
                            <wp:extent cx="2467570" cy="215512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extLst>
                                        <a:ext uri="{28A0092B-C50C-407E-A947-70E740481C1C}">
                                          <a14:useLocalDpi xmlns:a14="http://schemas.microsoft.com/office/drawing/2010/main" val="0"/>
                                        </a:ext>
                                      </a:extLst>
                                    </a:blip>
                                    <a:srcRect/>
                                    <a:stretch>
                                      <a:fillRect/>
                                    </a:stretch>
                                  </pic:blipFill>
                                  <pic:spPr>
                                    <a:xfrm>
                                      <a:off x="0" y="0"/>
                                      <a:ext cx="2467570" cy="2155128"/>
                                    </a:xfrm>
                                    <a:prstGeom prst="rect">
                                      <a:avLst/>
                                    </a:prstGeom>
                                    <a:noFill/>
                                  </pic:spPr>
                                </pic:pic>
                              </a:graphicData>
                            </a:graphic>
                          </wp:inline>
                        </w:drawing>
                      </w:r>
                    </w:p>
                  </w:txbxContent>
                </v:textbox>
                <w10:wrap type="topAndBottom"/>
              </v:shape>
            </w:pict>
          </mc:Fallback>
        </mc:AlternateContent>
      </w:r>
      <w:r w:rsidR="00CB32B0">
        <w:rPr>
          <w:rFonts w:ascii="宋体" w:eastAsia="宋体" w:hAnsi="宋体" w:cs="宋体" w:hint="eastAsia"/>
          <w:color w:val="000000"/>
          <w:sz w:val="24"/>
          <w:szCs w:val="24"/>
        </w:rPr>
        <w:t>图1</w:t>
      </w:r>
      <w:r w:rsidR="006C73CC">
        <w:rPr>
          <w:rFonts w:ascii="宋体" w:eastAsia="宋体" w:hAnsi="宋体" w:cs="宋体" w:hint="eastAsia"/>
          <w:color w:val="000000"/>
          <w:sz w:val="24"/>
          <w:szCs w:val="24"/>
        </w:rPr>
        <w:t>.</w:t>
      </w:r>
      <w:r w:rsidR="00CB32B0">
        <w:rPr>
          <w:rFonts w:ascii="宋体" w:eastAsia="宋体" w:hAnsi="宋体" w:cs="宋体" w:hint="eastAsia"/>
          <w:color w:val="000000"/>
          <w:sz w:val="24"/>
          <w:szCs w:val="24"/>
        </w:rPr>
        <w:t>研究流程图。(CPR:心肺复苏；ECMO:</w:t>
      </w:r>
      <w:r w:rsidR="00C3727A">
        <w:rPr>
          <w:rFonts w:ascii="宋体" w:eastAsia="宋体" w:hAnsi="宋体" w:cs="宋体" w:hint="eastAsia"/>
          <w:color w:val="000000"/>
          <w:sz w:val="24"/>
          <w:szCs w:val="24"/>
        </w:rPr>
        <w:t>体外膜氧合</w:t>
      </w:r>
      <w:r w:rsidR="00CB32B0">
        <w:rPr>
          <w:rFonts w:ascii="宋体" w:eastAsia="宋体" w:hAnsi="宋体" w:cs="宋体" w:hint="eastAsia"/>
          <w:color w:val="000000"/>
          <w:sz w:val="24"/>
          <w:szCs w:val="24"/>
        </w:rPr>
        <w:t>；ECPR:</w:t>
      </w:r>
      <w:r w:rsidR="00FE0FC5">
        <w:rPr>
          <w:rFonts w:ascii="宋体" w:eastAsia="宋体" w:hAnsi="宋体" w:cs="宋体" w:hint="eastAsia"/>
          <w:color w:val="000000"/>
          <w:sz w:val="24"/>
          <w:szCs w:val="24"/>
        </w:rPr>
        <w:t>体外心肺复苏</w:t>
      </w:r>
      <w:r w:rsidR="00CB32B0">
        <w:rPr>
          <w:rFonts w:ascii="宋体" w:eastAsia="宋体" w:hAnsi="宋体" w:cs="宋体" w:hint="eastAsia"/>
          <w:color w:val="000000"/>
          <w:sz w:val="24"/>
          <w:szCs w:val="24"/>
        </w:rPr>
        <w:t>)</w:t>
      </w:r>
    </w:p>
    <w:p w14:paraId="27597EA6" w14:textId="77777777" w:rsidR="009211BE" w:rsidRPr="000A18AA" w:rsidRDefault="009211BE">
      <w:pPr>
        <w:spacing w:line="360" w:lineRule="auto"/>
        <w:rPr>
          <w:rFonts w:ascii="宋体" w:eastAsia="宋体" w:hAnsi="宋体" w:cs="宋体"/>
          <w:b/>
          <w:bCs/>
          <w:i/>
          <w:iCs/>
          <w:color w:val="000000"/>
          <w:sz w:val="24"/>
          <w:szCs w:val="24"/>
        </w:rPr>
      </w:pPr>
    </w:p>
    <w:p w14:paraId="2F5C8085" w14:textId="77777777" w:rsidR="009211BE" w:rsidRDefault="00CB32B0">
      <w:pPr>
        <w:spacing w:line="360" w:lineRule="auto"/>
        <w:rPr>
          <w:rFonts w:ascii="宋体" w:eastAsia="宋体" w:hAnsi="宋体" w:cs="宋体"/>
          <w:b/>
          <w:bCs/>
          <w:color w:val="000000"/>
          <w:sz w:val="24"/>
          <w:szCs w:val="24"/>
        </w:rPr>
      </w:pPr>
      <w:r>
        <w:rPr>
          <w:rFonts w:ascii="宋体" w:eastAsia="宋体" w:hAnsi="宋体" w:cs="宋体" w:hint="eastAsia"/>
          <w:b/>
          <w:bCs/>
          <w:color w:val="000000"/>
          <w:sz w:val="24"/>
          <w:szCs w:val="24"/>
        </w:rPr>
        <w:t>定义和结局指标</w:t>
      </w:r>
    </w:p>
    <w:p w14:paraId="0ABB3C78" w14:textId="7686455D" w:rsidR="009211BE" w:rsidRDefault="00CB32B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在这项研究中，ECPR的定义是在心脏骤停患者的指</w:t>
      </w:r>
      <w:proofErr w:type="gramStart"/>
      <w:r>
        <w:rPr>
          <w:rFonts w:ascii="宋体" w:eastAsia="宋体" w:hAnsi="宋体" w:cs="宋体" w:hint="eastAsia"/>
          <w:color w:val="000000"/>
          <w:sz w:val="24"/>
          <w:szCs w:val="24"/>
        </w:rPr>
        <w:t>征过程</w:t>
      </w:r>
      <w:proofErr w:type="gramEnd"/>
      <w:r>
        <w:rPr>
          <w:rFonts w:ascii="宋体" w:eastAsia="宋体" w:hAnsi="宋体" w:cs="宋体" w:hint="eastAsia"/>
          <w:color w:val="000000"/>
          <w:sz w:val="24"/>
          <w:szCs w:val="24"/>
        </w:rPr>
        <w:t>中，成功地</w:t>
      </w:r>
      <w:r w:rsidR="001F18DE">
        <w:rPr>
          <w:rFonts w:ascii="宋体" w:eastAsia="宋体" w:hAnsi="宋体" w:cs="宋体" w:hint="eastAsia"/>
          <w:color w:val="000000"/>
          <w:sz w:val="24"/>
          <w:szCs w:val="24"/>
        </w:rPr>
        <w:t>置入</w:t>
      </w:r>
      <w:r>
        <w:rPr>
          <w:rFonts w:ascii="宋体" w:eastAsia="宋体" w:hAnsi="宋体" w:cs="宋体" w:hint="eastAsia"/>
          <w:color w:val="000000"/>
          <w:sz w:val="24"/>
          <w:szCs w:val="24"/>
        </w:rPr>
        <w:t>静脉动脉ECMO，并在胸部按压的情况下进行体外心脏按压。在本研究中，ECPR的定义是在患者</w:t>
      </w:r>
      <w:r w:rsidR="00FE3821">
        <w:rPr>
          <w:rFonts w:ascii="宋体" w:eastAsia="宋体" w:hAnsi="宋体" w:cs="宋体" w:hint="eastAsia"/>
          <w:color w:val="000000"/>
          <w:sz w:val="24"/>
          <w:szCs w:val="24"/>
        </w:rPr>
        <w:t>心脏骤停</w:t>
      </w:r>
      <w:r>
        <w:rPr>
          <w:rFonts w:ascii="宋体" w:eastAsia="宋体" w:hAnsi="宋体" w:cs="宋体" w:hint="eastAsia"/>
          <w:color w:val="000000"/>
          <w:sz w:val="24"/>
          <w:szCs w:val="24"/>
        </w:rPr>
        <w:t>期间，成功进行了</w:t>
      </w:r>
      <w:r w:rsidR="00FE3821">
        <w:rPr>
          <w:rFonts w:ascii="宋体" w:eastAsia="宋体" w:hAnsi="宋体" w:cs="宋体" w:hint="eastAsia"/>
          <w:color w:val="000000"/>
          <w:sz w:val="24"/>
          <w:szCs w:val="24"/>
        </w:rPr>
        <w:t>V</w:t>
      </w:r>
      <w:r w:rsidR="00FE3821">
        <w:rPr>
          <w:rFonts w:ascii="宋体" w:eastAsia="宋体" w:hAnsi="宋体" w:cs="宋体"/>
          <w:color w:val="000000"/>
          <w:sz w:val="24"/>
          <w:szCs w:val="24"/>
        </w:rPr>
        <w:t xml:space="preserve">A </w:t>
      </w:r>
      <w:r>
        <w:rPr>
          <w:rFonts w:ascii="宋体" w:eastAsia="宋体" w:hAnsi="宋体" w:cs="宋体" w:hint="eastAsia"/>
          <w:color w:val="000000"/>
          <w:sz w:val="24"/>
          <w:szCs w:val="24"/>
        </w:rPr>
        <w:t>ECMO置入术和</w:t>
      </w:r>
      <w:r w:rsidR="002E0505" w:rsidRPr="001008B4">
        <w:rPr>
          <w:rFonts w:ascii="宋体" w:eastAsia="宋体" w:hAnsi="宋体" w:cs="宋体" w:hint="eastAsia"/>
          <w:color w:val="000000"/>
          <w:sz w:val="24"/>
          <w:szCs w:val="24"/>
        </w:rPr>
        <w:t>机械</w:t>
      </w:r>
      <w:r w:rsidRPr="00FE3821">
        <w:rPr>
          <w:rFonts w:ascii="宋体" w:eastAsia="宋体" w:hAnsi="宋体" w:cs="宋体" w:hint="eastAsia"/>
          <w:color w:val="000000"/>
          <w:sz w:val="24"/>
          <w:szCs w:val="24"/>
        </w:rPr>
        <w:t>式胸部按压以</w:t>
      </w:r>
      <w:r>
        <w:rPr>
          <w:rFonts w:ascii="宋体" w:eastAsia="宋体" w:hAnsi="宋体" w:cs="宋体" w:hint="eastAsia"/>
          <w:color w:val="000000"/>
          <w:sz w:val="24"/>
          <w:szCs w:val="24"/>
        </w:rPr>
        <w:t>进行外部心脏按摩。在这项研究中，ECPR的定义是：在心脏骤停患者的处理流程中，成功地</w:t>
      </w:r>
      <w:r w:rsidR="001F18DE">
        <w:rPr>
          <w:rFonts w:ascii="宋体" w:eastAsia="宋体" w:hAnsi="宋体" w:cs="宋体" w:hint="eastAsia"/>
          <w:color w:val="000000"/>
          <w:sz w:val="24"/>
          <w:szCs w:val="24"/>
        </w:rPr>
        <w:t>置入</w:t>
      </w:r>
      <w:r w:rsidR="007A497A">
        <w:rPr>
          <w:rFonts w:ascii="宋体" w:eastAsia="宋体" w:hAnsi="宋体" w:cs="宋体" w:hint="eastAsia"/>
          <w:color w:val="000000"/>
          <w:sz w:val="24"/>
          <w:szCs w:val="24"/>
        </w:rPr>
        <w:t>V</w:t>
      </w:r>
      <w:r w:rsidR="007A497A">
        <w:rPr>
          <w:rFonts w:ascii="宋体" w:eastAsia="宋体" w:hAnsi="宋体" w:cs="宋体"/>
          <w:color w:val="000000"/>
          <w:sz w:val="24"/>
          <w:szCs w:val="24"/>
        </w:rPr>
        <w:t xml:space="preserve">A </w:t>
      </w:r>
      <w:r>
        <w:rPr>
          <w:rFonts w:ascii="宋体" w:eastAsia="宋体" w:hAnsi="宋体" w:cs="宋体" w:hint="eastAsia"/>
          <w:color w:val="000000"/>
          <w:sz w:val="24"/>
          <w:szCs w:val="24"/>
        </w:rPr>
        <w:t>ECMO，并使用胸部按压的方法进行体外心脏按压。当在ECMO</w:t>
      </w:r>
      <w:r w:rsidR="001F18DE">
        <w:rPr>
          <w:rFonts w:ascii="宋体" w:eastAsia="宋体" w:hAnsi="宋体" w:cs="宋体" w:hint="eastAsia"/>
          <w:color w:val="000000"/>
          <w:sz w:val="24"/>
          <w:szCs w:val="24"/>
        </w:rPr>
        <w:t>置入</w:t>
      </w:r>
      <w:r>
        <w:rPr>
          <w:rFonts w:ascii="宋体" w:eastAsia="宋体" w:hAnsi="宋体" w:cs="宋体" w:hint="eastAsia"/>
          <w:color w:val="000000"/>
          <w:sz w:val="24"/>
          <w:szCs w:val="24"/>
        </w:rPr>
        <w:t>过程中出现自主循环恢复(ROSC)时，医生通常不会拔除插管或停止ECMO</w:t>
      </w:r>
      <w:r w:rsidR="001F18DE">
        <w:rPr>
          <w:rFonts w:ascii="宋体" w:eastAsia="宋体" w:hAnsi="宋体" w:cs="宋体" w:hint="eastAsia"/>
          <w:color w:val="000000"/>
          <w:sz w:val="24"/>
          <w:szCs w:val="24"/>
        </w:rPr>
        <w:t>置入</w:t>
      </w:r>
      <w:r>
        <w:rPr>
          <w:rFonts w:ascii="宋体" w:eastAsia="宋体" w:hAnsi="宋体" w:cs="宋体" w:hint="eastAsia"/>
          <w:color w:val="000000"/>
          <w:sz w:val="24"/>
          <w:szCs w:val="24"/>
        </w:rPr>
        <w:t>。体表温度和目标温度由重症监护病房中的每位重症监护医生根据治疗降温方案确定。本研究的目标温度管理方案在补充材料中有所描述。所有患者的ECMO术后初始序贯器官衰竭评分(SOFA)均采用事件发生后24小时内各评分项目的最低分值。</w:t>
      </w:r>
      <w:r w:rsidR="00AE1E5E">
        <w:rPr>
          <w:rFonts w:ascii="宋体" w:eastAsia="宋体" w:hAnsi="宋体" w:cs="宋体" w:hint="eastAsia"/>
          <w:color w:val="000000"/>
          <w:sz w:val="24"/>
          <w:szCs w:val="24"/>
        </w:rPr>
        <w:t>VA ECMO预后</w:t>
      </w:r>
      <w:r>
        <w:rPr>
          <w:rFonts w:ascii="宋体" w:eastAsia="宋体" w:hAnsi="宋体" w:cs="宋体" w:hint="eastAsia"/>
          <w:color w:val="000000"/>
          <w:sz w:val="24"/>
          <w:szCs w:val="24"/>
        </w:rPr>
        <w:t>评分(SAVE)和ECPR评分按照以往研究的描述进行测量。主要结局指标是根据格拉斯哥-匹兹堡脑功能分类量表(CPC)(得分范围从1到5)评估出院时的神经系统状况。CPC评分1和2被认为神经预后良好；CPC评分3、4、5被认为神经预后差。我们彻底检查了病历，两位独立的神经科医生对患者的病历进行了彻底检查并进行了CPC评分。</w:t>
      </w:r>
    </w:p>
    <w:p w14:paraId="4C0B8C61" w14:textId="77777777" w:rsidR="009211BE" w:rsidRDefault="009211BE">
      <w:pPr>
        <w:spacing w:line="360" w:lineRule="auto"/>
        <w:rPr>
          <w:rFonts w:ascii="宋体" w:eastAsia="宋体" w:hAnsi="宋体" w:cs="宋体"/>
          <w:color w:val="000000"/>
          <w:sz w:val="24"/>
          <w:szCs w:val="24"/>
        </w:rPr>
      </w:pPr>
    </w:p>
    <w:p w14:paraId="72153555" w14:textId="77777777" w:rsidR="009211BE" w:rsidRDefault="00CB32B0">
      <w:pPr>
        <w:spacing w:line="360" w:lineRule="auto"/>
        <w:rPr>
          <w:rFonts w:ascii="宋体" w:eastAsia="宋体" w:hAnsi="宋体" w:cs="宋体"/>
          <w:b/>
          <w:bCs/>
          <w:color w:val="000000"/>
          <w:sz w:val="24"/>
          <w:szCs w:val="24"/>
        </w:rPr>
      </w:pPr>
      <w:r>
        <w:rPr>
          <w:rFonts w:ascii="宋体" w:eastAsia="宋体" w:hAnsi="宋体" w:cs="宋体" w:hint="eastAsia"/>
          <w:b/>
          <w:bCs/>
          <w:color w:val="000000"/>
          <w:sz w:val="24"/>
          <w:szCs w:val="24"/>
        </w:rPr>
        <w:t>统计学分析</w:t>
      </w:r>
    </w:p>
    <w:p w14:paraId="32AC04C0" w14:textId="276AECD8" w:rsidR="009211BE" w:rsidRDefault="00CB32B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数据统计中，连续变量以中位数和四分位数范围(IQR，Q1~Q3)表示，分类变</w:t>
      </w:r>
      <w:r>
        <w:rPr>
          <w:rFonts w:ascii="宋体" w:eastAsia="宋体" w:hAnsi="宋体" w:cs="宋体" w:hint="eastAsia"/>
          <w:color w:val="000000"/>
          <w:sz w:val="24"/>
          <w:szCs w:val="24"/>
        </w:rPr>
        <w:lastRenderedPageBreak/>
        <w:t>量以数量(百分比)表示。数据比较中，连续变量采用Mann-Whitney U检验，分类变量采用卡方检验或Fisher精确检验。通过受试者操作特征(ROC)曲线和Youden指数确定预测不良神经系统预后的每个连续变量的最佳截断值。如果之前研究的</w:t>
      </w:r>
      <w:proofErr w:type="gramStart"/>
      <w:r>
        <w:rPr>
          <w:rFonts w:ascii="宋体" w:eastAsia="宋体" w:hAnsi="宋体" w:cs="宋体" w:hint="eastAsia"/>
          <w:color w:val="000000"/>
          <w:sz w:val="24"/>
          <w:szCs w:val="24"/>
        </w:rPr>
        <w:t>截断值</w:t>
      </w:r>
      <w:proofErr w:type="gramEnd"/>
      <w:r>
        <w:rPr>
          <w:rFonts w:ascii="宋体" w:eastAsia="宋体" w:hAnsi="宋体" w:cs="宋体" w:hint="eastAsia"/>
          <w:color w:val="000000"/>
          <w:sz w:val="24"/>
          <w:szCs w:val="24"/>
        </w:rPr>
        <w:t>接近Youden指数得出的截断值，则认为该值具有临床意义或已证实。ECPR后的神经功能评分（</w:t>
      </w:r>
      <w:proofErr w:type="spellStart"/>
      <w:r>
        <w:rPr>
          <w:rFonts w:ascii="宋体" w:eastAsia="宋体" w:hAnsi="宋体" w:cs="宋体" w:hint="eastAsia"/>
          <w:color w:val="000000"/>
          <w:sz w:val="24"/>
          <w:szCs w:val="24"/>
        </w:rPr>
        <w:t>nECPR</w:t>
      </w:r>
      <w:proofErr w:type="spellEnd"/>
      <w:r>
        <w:rPr>
          <w:rFonts w:ascii="宋体" w:eastAsia="宋体" w:hAnsi="宋体" w:cs="宋体" w:hint="eastAsia"/>
          <w:color w:val="000000"/>
          <w:sz w:val="24"/>
          <w:szCs w:val="24"/>
        </w:rPr>
        <w:t>）被设计用来预测出院时的不良神经功能预后。新的评分是建立在多因素logistic回归模型的基础上，该模型反映了正在接受ECPR的心脏骤停患者神经功能不良的预后；</w:t>
      </w:r>
      <w:proofErr w:type="spellStart"/>
      <w:r w:rsidRPr="00B64D4A">
        <w:rPr>
          <w:rFonts w:ascii="宋体" w:eastAsia="宋体" w:hAnsi="宋体" w:cs="宋体"/>
          <w:color w:val="000000"/>
          <w:sz w:val="24"/>
          <w:szCs w:val="24"/>
        </w:rPr>
        <w:t>nECPR</w:t>
      </w:r>
      <w:proofErr w:type="spellEnd"/>
      <w:r>
        <w:rPr>
          <w:rFonts w:ascii="宋体" w:eastAsia="宋体" w:hAnsi="宋体" w:cs="宋体" w:hint="eastAsia"/>
          <w:color w:val="000000"/>
          <w:sz w:val="24"/>
          <w:szCs w:val="24"/>
        </w:rPr>
        <w:t>使用了表1中所有可能的人口统计学和临床变量，并考虑了它们之间的各种相互作用。如果初步单因素分析提示变量相关</w:t>
      </w:r>
      <w:r w:rsidR="00BB3B02">
        <w:rPr>
          <w:rFonts w:ascii="宋体" w:eastAsia="宋体" w:hAnsi="宋体" w:cs="宋体" w:hint="eastAsia"/>
          <w:color w:val="000000"/>
          <w:sz w:val="24"/>
          <w:szCs w:val="24"/>
        </w:rPr>
        <w:t>(p值&lt;0.2)</w:t>
      </w:r>
      <w:r>
        <w:rPr>
          <w:rFonts w:ascii="宋体" w:eastAsia="宋体" w:hAnsi="宋体" w:cs="宋体" w:hint="eastAsia"/>
          <w:color w:val="000000"/>
          <w:sz w:val="24"/>
          <w:szCs w:val="24"/>
        </w:rPr>
        <w:t>，则在模型中使用此变量；各种临床相关变量也被使用。我们根据Akaike信息准则对变量采用了逐步筛选法的双向筛选技术。根据ROC曲线下面积来评估构建评分在预测不良神经系统功能预后结局中的辨别能力。模型的优劣使用</w:t>
      </w:r>
      <w:proofErr w:type="spellStart"/>
      <w:r>
        <w:rPr>
          <w:rFonts w:ascii="宋体" w:eastAsia="宋体" w:hAnsi="宋体" w:cs="宋体" w:hint="eastAsia"/>
          <w:color w:val="000000"/>
          <w:sz w:val="24"/>
          <w:szCs w:val="24"/>
        </w:rPr>
        <w:t>Osius-Rojek</w:t>
      </w:r>
      <w:proofErr w:type="spellEnd"/>
      <w:r>
        <w:rPr>
          <w:rFonts w:ascii="宋体" w:eastAsia="宋体" w:hAnsi="宋体" w:cs="宋体" w:hint="eastAsia"/>
          <w:color w:val="000000"/>
          <w:sz w:val="24"/>
          <w:szCs w:val="24"/>
        </w:rPr>
        <w:t>检验和</w:t>
      </w:r>
      <w:proofErr w:type="spellStart"/>
      <w:r>
        <w:rPr>
          <w:rFonts w:ascii="宋体" w:eastAsia="宋体" w:hAnsi="宋体" w:cs="宋体" w:hint="eastAsia"/>
          <w:color w:val="000000"/>
          <w:sz w:val="24"/>
          <w:szCs w:val="24"/>
        </w:rPr>
        <w:t>HosmerLemesshow</w:t>
      </w:r>
      <w:proofErr w:type="spellEnd"/>
      <w:r>
        <w:rPr>
          <w:rFonts w:ascii="宋体" w:eastAsia="宋体" w:hAnsi="宋体" w:cs="宋体" w:hint="eastAsia"/>
          <w:color w:val="000000"/>
          <w:sz w:val="24"/>
          <w:szCs w:val="24"/>
        </w:rPr>
        <w:t>拟合优度检验。然后我们在z评分的基础上开发了新的</w:t>
      </w:r>
      <w:proofErr w:type="spellStart"/>
      <w:r>
        <w:rPr>
          <w:rFonts w:ascii="宋体" w:eastAsia="宋体" w:hAnsi="宋体" w:cs="宋体" w:hint="eastAsia"/>
          <w:color w:val="000000"/>
          <w:sz w:val="24"/>
          <w:szCs w:val="24"/>
        </w:rPr>
        <w:t>nECPR</w:t>
      </w:r>
      <w:proofErr w:type="spellEnd"/>
      <w:r>
        <w:rPr>
          <w:rFonts w:ascii="宋体" w:eastAsia="宋体" w:hAnsi="宋体" w:cs="宋体" w:hint="eastAsia"/>
          <w:color w:val="000000"/>
          <w:sz w:val="24"/>
          <w:szCs w:val="24"/>
        </w:rPr>
        <w:t>指数，z评分是回归系数除以其标准误差。为生成一个简单的评分系统，每个预测变量的z评分除以其中最小的z评分。最后，我们对新的</w:t>
      </w:r>
      <w:proofErr w:type="spellStart"/>
      <w:r>
        <w:rPr>
          <w:rFonts w:ascii="宋体" w:eastAsia="宋体" w:hAnsi="宋体" w:cs="宋体" w:hint="eastAsia"/>
          <w:color w:val="000000"/>
          <w:sz w:val="24"/>
          <w:szCs w:val="24"/>
        </w:rPr>
        <w:t>nECPR</w:t>
      </w:r>
      <w:proofErr w:type="spellEnd"/>
      <w:r>
        <w:rPr>
          <w:rFonts w:ascii="宋体" w:eastAsia="宋体" w:hAnsi="宋体" w:cs="宋体" w:hint="eastAsia"/>
          <w:color w:val="000000"/>
          <w:sz w:val="24"/>
          <w:szCs w:val="24"/>
        </w:rPr>
        <w:t>指数的有效性和可靠性进行了比较分析，并将其与SAVE和以前的ECPR指数在预测能力和对正在接受ECPR的心脏骤停患者进行正确分类的能力方面进行了比较。内部验证采用留一法交叉验证(LOOCV)，以获得分类错误率。所有的检验均为双侧性的，p＜0.05被认为具有统计学意义。使用R统计软件(3.2.5版；奥地利维也纳R统计计算协会)分析数据。</w:t>
      </w:r>
    </w:p>
    <w:p w14:paraId="0C3F11CB" w14:textId="77777777" w:rsidR="009211BE" w:rsidRDefault="009211BE">
      <w:pPr>
        <w:spacing w:line="360" w:lineRule="auto"/>
        <w:rPr>
          <w:rFonts w:ascii="宋体" w:eastAsia="宋体" w:hAnsi="宋体" w:cs="宋体"/>
          <w:color w:val="000000"/>
          <w:sz w:val="24"/>
          <w:szCs w:val="24"/>
        </w:rPr>
      </w:pPr>
    </w:p>
    <w:p w14:paraId="6A9A5CA1" w14:textId="77777777" w:rsidR="009211BE" w:rsidRDefault="00CB32B0">
      <w:pPr>
        <w:spacing w:line="360" w:lineRule="auto"/>
        <w:rPr>
          <w:rFonts w:ascii="宋体" w:eastAsia="宋体" w:hAnsi="宋体" w:cs="宋体"/>
          <w:b/>
          <w:bCs/>
          <w:color w:val="000000"/>
          <w:sz w:val="30"/>
          <w:szCs w:val="30"/>
        </w:rPr>
      </w:pPr>
      <w:r>
        <w:rPr>
          <w:rFonts w:ascii="宋体" w:eastAsia="宋体" w:hAnsi="宋体" w:cs="宋体" w:hint="eastAsia"/>
          <w:b/>
          <w:bCs/>
          <w:color w:val="000000"/>
          <w:sz w:val="30"/>
          <w:szCs w:val="30"/>
        </w:rPr>
        <w:t>结果</w:t>
      </w:r>
    </w:p>
    <w:p w14:paraId="3EE07C0F" w14:textId="77777777" w:rsidR="009211BE" w:rsidRDefault="00CB32B0">
      <w:pPr>
        <w:spacing w:line="360" w:lineRule="auto"/>
        <w:rPr>
          <w:rFonts w:ascii="宋体" w:eastAsia="宋体" w:hAnsi="宋体" w:cs="宋体"/>
          <w:b/>
          <w:bCs/>
          <w:color w:val="000000"/>
          <w:sz w:val="24"/>
          <w:szCs w:val="24"/>
        </w:rPr>
      </w:pPr>
      <w:r>
        <w:rPr>
          <w:rFonts w:ascii="宋体" w:eastAsia="宋体" w:hAnsi="宋体" w:cs="宋体" w:hint="eastAsia"/>
          <w:b/>
          <w:bCs/>
          <w:color w:val="000000"/>
          <w:sz w:val="24"/>
          <w:szCs w:val="24"/>
        </w:rPr>
        <w:t>基线特征和临床结果</w:t>
      </w:r>
    </w:p>
    <w:p w14:paraId="450410AF" w14:textId="3A7A65EF" w:rsidR="009211BE" w:rsidRDefault="00CB32B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患者的平均年龄为62岁(IQR 51-73岁)，174名患者(63.5%)为男性。218例(79.6%)患者</w:t>
      </w:r>
      <w:r w:rsidR="00B64D4A">
        <w:rPr>
          <w:rFonts w:ascii="宋体" w:eastAsia="宋体" w:hAnsi="宋体" w:cs="宋体" w:hint="eastAsia"/>
          <w:color w:val="000000"/>
          <w:sz w:val="24"/>
          <w:szCs w:val="24"/>
        </w:rPr>
        <w:t>确认为</w:t>
      </w:r>
      <w:r>
        <w:rPr>
          <w:rFonts w:ascii="宋体" w:eastAsia="宋体" w:hAnsi="宋体" w:cs="宋体" w:hint="eastAsia"/>
          <w:color w:val="000000"/>
          <w:sz w:val="24"/>
          <w:szCs w:val="24"/>
        </w:rPr>
        <w:t>心脏骤停。急性冠脉综合征是104例(38.0%)患者心脏骤停的主要原因，39例(14.2%)有缺血性心脏病病史。顽固性心律失常是导致心脏骤停的第二大常见原因(8.4%)。共有250名患者(91.2%)在医院内出现心脏骤停，24名患者(8.8%)</w:t>
      </w:r>
      <w:r w:rsidR="00C577D5">
        <w:rPr>
          <w:rFonts w:ascii="宋体" w:eastAsia="宋体" w:hAnsi="宋体" w:cs="宋体" w:hint="eastAsia"/>
          <w:color w:val="000000"/>
          <w:sz w:val="24"/>
          <w:szCs w:val="24"/>
        </w:rPr>
        <w:t>为</w:t>
      </w:r>
      <w:r w:rsidRPr="00C577D5">
        <w:rPr>
          <w:rFonts w:ascii="宋体" w:eastAsia="宋体" w:hAnsi="宋体" w:cs="宋体"/>
          <w:color w:val="000000"/>
          <w:sz w:val="24"/>
          <w:szCs w:val="24"/>
        </w:rPr>
        <w:t>院外</w:t>
      </w:r>
      <w:r>
        <w:rPr>
          <w:rFonts w:ascii="宋体" w:eastAsia="宋体" w:hAnsi="宋体" w:cs="宋体" w:hint="eastAsia"/>
          <w:color w:val="000000"/>
          <w:sz w:val="24"/>
          <w:szCs w:val="24"/>
        </w:rPr>
        <w:t>心脏骤停。CPR至ECMO启动时间的中位数为36分钟(IQR为23~55分钟)。接受ECPR治疗的患者的基线特征如表1所示，心脏骤停的特征如表2所示。与神经系统预后良好组相比，神经系统预后不良组年龄更大，</w:t>
      </w:r>
      <w:r w:rsidR="00C577D5" w:rsidRPr="00C577D5">
        <w:rPr>
          <w:rFonts w:ascii="宋体" w:eastAsia="宋体" w:hAnsi="宋体" w:cs="宋体" w:hint="eastAsia"/>
          <w:color w:val="000000"/>
          <w:sz w:val="24"/>
          <w:szCs w:val="24"/>
        </w:rPr>
        <w:t>可</w:t>
      </w:r>
      <w:r w:rsidRPr="00535951">
        <w:rPr>
          <w:rFonts w:ascii="宋体" w:eastAsia="宋体" w:hAnsi="宋体" w:cs="宋体" w:hint="eastAsia"/>
          <w:color w:val="000000"/>
          <w:sz w:val="24"/>
          <w:szCs w:val="24"/>
        </w:rPr>
        <w:t>电击</w:t>
      </w:r>
      <w:r w:rsidR="00C577D5" w:rsidRPr="001008B4">
        <w:rPr>
          <w:rFonts w:ascii="宋体" w:eastAsia="宋体" w:hAnsi="宋体" w:cs="宋体" w:hint="eastAsia"/>
          <w:color w:val="000000"/>
          <w:sz w:val="24"/>
          <w:szCs w:val="24"/>
        </w:rPr>
        <w:lastRenderedPageBreak/>
        <w:t>复</w:t>
      </w:r>
      <w:r w:rsidRPr="00C577D5">
        <w:rPr>
          <w:rFonts w:ascii="宋体" w:eastAsia="宋体" w:hAnsi="宋体" w:cs="宋体" w:hint="eastAsia"/>
          <w:color w:val="000000"/>
          <w:sz w:val="24"/>
          <w:szCs w:val="24"/>
        </w:rPr>
        <w:t>律</w:t>
      </w:r>
      <w:r>
        <w:rPr>
          <w:rFonts w:ascii="宋体" w:eastAsia="宋体" w:hAnsi="宋体" w:cs="宋体" w:hint="eastAsia"/>
          <w:color w:val="000000"/>
          <w:sz w:val="24"/>
          <w:szCs w:val="24"/>
        </w:rPr>
        <w:t>和缺血性心脏骤停的发生率更低，心肺复苏至ECMO启动的时间更长，ECMO启动后脉压和平均动脉压(MAP)更低，初始血清乳酸和</w:t>
      </w:r>
      <w:proofErr w:type="gramStart"/>
      <w:r>
        <w:rPr>
          <w:rFonts w:ascii="宋体" w:eastAsia="宋体" w:hAnsi="宋体" w:cs="宋体" w:hint="eastAsia"/>
          <w:color w:val="000000"/>
          <w:sz w:val="24"/>
          <w:szCs w:val="24"/>
        </w:rPr>
        <w:t>肌酐</w:t>
      </w:r>
      <w:proofErr w:type="gramEnd"/>
      <w:r>
        <w:rPr>
          <w:rFonts w:ascii="宋体" w:eastAsia="宋体" w:hAnsi="宋体" w:cs="宋体" w:hint="eastAsia"/>
          <w:color w:val="000000"/>
          <w:sz w:val="24"/>
          <w:szCs w:val="24"/>
        </w:rPr>
        <w:t>水平更高，ECMO</w:t>
      </w:r>
      <w:r w:rsidR="001F18DE">
        <w:rPr>
          <w:rFonts w:ascii="宋体" w:eastAsia="宋体" w:hAnsi="宋体" w:cs="宋体" w:hint="eastAsia"/>
          <w:color w:val="000000"/>
          <w:sz w:val="24"/>
          <w:szCs w:val="24"/>
        </w:rPr>
        <w:t>置入</w:t>
      </w:r>
      <w:r>
        <w:rPr>
          <w:rFonts w:ascii="宋体" w:eastAsia="宋体" w:hAnsi="宋体" w:cs="宋体" w:hint="eastAsia"/>
          <w:color w:val="000000"/>
          <w:sz w:val="24"/>
          <w:szCs w:val="24"/>
        </w:rPr>
        <w:t>前血清血红蛋白水平更低，初始SOFA评分更高，SAVE和ECPR评分更低。神经系统预后不良组在心脏骤停后48小时内血糖水平也更高，血糖水平高于300 mg/dL在神经系统预后不良组中更为常见。此外，神经系统预后不良</w:t>
      </w:r>
      <w:proofErr w:type="gramStart"/>
      <w:r>
        <w:rPr>
          <w:rFonts w:ascii="宋体" w:eastAsia="宋体" w:hAnsi="宋体" w:cs="宋体" w:hint="eastAsia"/>
          <w:color w:val="000000"/>
          <w:sz w:val="24"/>
          <w:szCs w:val="24"/>
        </w:rPr>
        <w:t>组使用</w:t>
      </w:r>
      <w:proofErr w:type="gramEnd"/>
      <w:r>
        <w:rPr>
          <w:rFonts w:ascii="宋体" w:eastAsia="宋体" w:hAnsi="宋体" w:cs="宋体" w:hint="eastAsia"/>
          <w:color w:val="000000"/>
          <w:sz w:val="24"/>
          <w:szCs w:val="24"/>
        </w:rPr>
        <w:t>体温冷却装置和主动脉内球囊反搏装置的可能性较小。在274例接受ECPR的成人心脏骤停患者中，132例(48.2%)成功脱机，95例(34.7%)存活至出院。在这95名存活者中，78名患者(28.5%)的神经功能恢复良好(CPC评分为1或2)。补充图1显示了CPC分数的整个分布。</w:t>
      </w:r>
    </w:p>
    <w:p w14:paraId="642FB60B" w14:textId="77777777" w:rsidR="009211BE" w:rsidRDefault="009211BE">
      <w:pPr>
        <w:spacing w:line="360" w:lineRule="auto"/>
        <w:rPr>
          <w:rFonts w:ascii="宋体" w:eastAsia="宋体" w:hAnsi="宋体" w:cs="宋体"/>
          <w:color w:val="000000"/>
          <w:sz w:val="24"/>
          <w:szCs w:val="24"/>
        </w:rPr>
      </w:pPr>
    </w:p>
    <w:p w14:paraId="15679E4A" w14:textId="77777777" w:rsidR="009211BE" w:rsidRDefault="00CB32B0">
      <w:pPr>
        <w:spacing w:line="360" w:lineRule="auto"/>
        <w:rPr>
          <w:rFonts w:ascii="宋体" w:eastAsia="宋体" w:hAnsi="宋体" w:cs="宋体"/>
          <w:b/>
          <w:bCs/>
          <w:color w:val="000000"/>
          <w:sz w:val="24"/>
          <w:szCs w:val="24"/>
        </w:rPr>
      </w:pPr>
      <w:r>
        <w:rPr>
          <w:rFonts w:ascii="宋体" w:eastAsia="宋体" w:hAnsi="宋体" w:cs="宋体" w:hint="eastAsia"/>
          <w:b/>
          <w:bCs/>
          <w:color w:val="000000"/>
          <w:sz w:val="24"/>
          <w:szCs w:val="24"/>
        </w:rPr>
        <w:t>表1.基线特征</w:t>
      </w:r>
    </w:p>
    <w:tbl>
      <w:tblPr>
        <w:tblW w:w="8222" w:type="dxa"/>
        <w:tblLayout w:type="fixed"/>
        <w:tblCellMar>
          <w:left w:w="0" w:type="dxa"/>
          <w:right w:w="0" w:type="dxa"/>
        </w:tblCellMar>
        <w:tblLook w:val="04A0" w:firstRow="1" w:lastRow="0" w:firstColumn="1" w:lastColumn="0" w:noHBand="0" w:noVBand="1"/>
      </w:tblPr>
      <w:tblGrid>
        <w:gridCol w:w="2694"/>
        <w:gridCol w:w="1984"/>
        <w:gridCol w:w="1985"/>
        <w:gridCol w:w="1559"/>
      </w:tblGrid>
      <w:tr w:rsidR="009211BE" w14:paraId="08833781" w14:textId="77777777">
        <w:trPr>
          <w:trHeight w:val="525"/>
        </w:trPr>
        <w:tc>
          <w:tcPr>
            <w:tcW w:w="2694" w:type="dxa"/>
            <w:tcBorders>
              <w:top w:val="single" w:sz="8" w:space="0" w:color="000000"/>
              <w:left w:val="nil"/>
              <w:bottom w:val="single" w:sz="8" w:space="0" w:color="000000"/>
              <w:right w:val="nil"/>
            </w:tcBorders>
            <w:tcMar>
              <w:top w:w="30" w:type="dxa"/>
              <w:left w:w="0" w:type="dxa"/>
              <w:bottom w:w="19" w:type="dxa"/>
              <w:right w:w="0" w:type="dxa"/>
            </w:tcMar>
            <w:vAlign w:val="center"/>
          </w:tcPr>
          <w:p w14:paraId="43302BA3"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特征指标</w:t>
            </w:r>
          </w:p>
        </w:tc>
        <w:tc>
          <w:tcPr>
            <w:tcW w:w="1984" w:type="dxa"/>
            <w:tcBorders>
              <w:top w:val="single" w:sz="8" w:space="0" w:color="000000"/>
              <w:left w:val="nil"/>
              <w:bottom w:val="single" w:sz="8" w:space="0" w:color="000000"/>
              <w:right w:val="nil"/>
            </w:tcBorders>
            <w:tcMar>
              <w:top w:w="30" w:type="dxa"/>
              <w:left w:w="0" w:type="dxa"/>
              <w:bottom w:w="19" w:type="dxa"/>
              <w:right w:w="0" w:type="dxa"/>
            </w:tcMar>
            <w:vAlign w:val="center"/>
          </w:tcPr>
          <w:p w14:paraId="2A06F33E" w14:textId="77777777" w:rsidR="009211BE" w:rsidRDefault="00CB32B0">
            <w:pPr>
              <w:widowControl/>
              <w:spacing w:line="360" w:lineRule="auto"/>
              <w:ind w:left="847" w:right="468" w:hanging="84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神经功能预后良好</w:t>
            </w:r>
          </w:p>
          <w:p w14:paraId="67AE61FF" w14:textId="77777777" w:rsidR="009211BE" w:rsidRDefault="00CB32B0">
            <w:pPr>
              <w:widowControl/>
              <w:spacing w:line="360" w:lineRule="auto"/>
              <w:ind w:left="847" w:right="468" w:hanging="84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（n=78)</w:t>
            </w:r>
          </w:p>
        </w:tc>
        <w:tc>
          <w:tcPr>
            <w:tcW w:w="1985" w:type="dxa"/>
            <w:tcBorders>
              <w:top w:val="single" w:sz="8" w:space="0" w:color="000000"/>
              <w:left w:val="nil"/>
              <w:bottom w:val="single" w:sz="8" w:space="0" w:color="000000"/>
              <w:right w:val="nil"/>
            </w:tcBorders>
            <w:tcMar>
              <w:top w:w="30" w:type="dxa"/>
              <w:left w:w="0" w:type="dxa"/>
              <w:bottom w:w="19" w:type="dxa"/>
              <w:right w:w="0" w:type="dxa"/>
            </w:tcMar>
            <w:vAlign w:val="center"/>
          </w:tcPr>
          <w:p w14:paraId="27F250A0" w14:textId="77777777" w:rsidR="009211BE" w:rsidRDefault="00CB32B0">
            <w:pPr>
              <w:widowControl/>
              <w:spacing w:line="360" w:lineRule="auto"/>
              <w:ind w:right="468"/>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神经功能预后不良</w:t>
            </w:r>
          </w:p>
          <w:p w14:paraId="160BCD90" w14:textId="77777777" w:rsidR="009211BE" w:rsidRDefault="00CB32B0">
            <w:pPr>
              <w:widowControl/>
              <w:spacing w:line="360" w:lineRule="auto"/>
              <w:ind w:left="620" w:right="468" w:hanging="62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（n=196)</w:t>
            </w:r>
          </w:p>
        </w:tc>
        <w:tc>
          <w:tcPr>
            <w:tcW w:w="1559" w:type="dxa"/>
            <w:tcBorders>
              <w:top w:val="single" w:sz="8" w:space="0" w:color="000000"/>
              <w:left w:val="nil"/>
              <w:bottom w:val="single" w:sz="8" w:space="0" w:color="000000"/>
              <w:right w:val="nil"/>
            </w:tcBorders>
            <w:tcMar>
              <w:top w:w="30" w:type="dxa"/>
              <w:left w:w="0" w:type="dxa"/>
              <w:bottom w:w="19" w:type="dxa"/>
              <w:right w:w="0" w:type="dxa"/>
            </w:tcMar>
            <w:vAlign w:val="center"/>
          </w:tcPr>
          <w:p w14:paraId="5DD9D312"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p值</w:t>
            </w:r>
          </w:p>
        </w:tc>
      </w:tr>
      <w:tr w:rsidR="009211BE" w14:paraId="337421A9" w14:textId="77777777">
        <w:trPr>
          <w:trHeight w:val="227"/>
        </w:trPr>
        <w:tc>
          <w:tcPr>
            <w:tcW w:w="2694" w:type="dxa"/>
            <w:tcBorders>
              <w:top w:val="nil"/>
              <w:left w:val="nil"/>
              <w:bottom w:val="nil"/>
              <w:right w:val="nil"/>
            </w:tcBorders>
            <w:tcMar>
              <w:top w:w="30" w:type="dxa"/>
              <w:left w:w="0" w:type="dxa"/>
              <w:bottom w:w="19" w:type="dxa"/>
              <w:right w:w="0" w:type="dxa"/>
            </w:tcMar>
            <w:vAlign w:val="center"/>
          </w:tcPr>
          <w:p w14:paraId="2CF4FACC"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年龄，岁</w:t>
            </w:r>
          </w:p>
        </w:tc>
        <w:tc>
          <w:tcPr>
            <w:tcW w:w="1984" w:type="dxa"/>
            <w:tcBorders>
              <w:top w:val="nil"/>
              <w:left w:val="nil"/>
              <w:bottom w:val="nil"/>
              <w:right w:val="nil"/>
            </w:tcBorders>
            <w:tcMar>
              <w:top w:w="30" w:type="dxa"/>
              <w:left w:w="0" w:type="dxa"/>
              <w:bottom w:w="19" w:type="dxa"/>
              <w:right w:w="0" w:type="dxa"/>
            </w:tcMar>
            <w:vAlign w:val="center"/>
          </w:tcPr>
          <w:p w14:paraId="4D464105"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59.5 (47.0–68.0)</w:t>
            </w:r>
          </w:p>
        </w:tc>
        <w:tc>
          <w:tcPr>
            <w:tcW w:w="1985" w:type="dxa"/>
            <w:tcBorders>
              <w:top w:val="nil"/>
              <w:left w:val="nil"/>
              <w:bottom w:val="nil"/>
              <w:right w:val="nil"/>
            </w:tcBorders>
            <w:tcMar>
              <w:top w:w="30" w:type="dxa"/>
              <w:left w:w="0" w:type="dxa"/>
              <w:bottom w:w="19" w:type="dxa"/>
              <w:right w:w="0" w:type="dxa"/>
            </w:tcMar>
            <w:vAlign w:val="center"/>
          </w:tcPr>
          <w:p w14:paraId="1B393FA6"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64.0 (53.0–74.0)</w:t>
            </w:r>
          </w:p>
        </w:tc>
        <w:tc>
          <w:tcPr>
            <w:tcW w:w="1559" w:type="dxa"/>
            <w:tcBorders>
              <w:top w:val="nil"/>
              <w:left w:val="nil"/>
              <w:bottom w:val="nil"/>
              <w:right w:val="nil"/>
            </w:tcBorders>
            <w:tcMar>
              <w:top w:w="30" w:type="dxa"/>
              <w:left w:w="0" w:type="dxa"/>
              <w:bottom w:w="19" w:type="dxa"/>
              <w:right w:w="0" w:type="dxa"/>
            </w:tcMar>
            <w:vAlign w:val="center"/>
          </w:tcPr>
          <w:p w14:paraId="7E4B8D2E" w14:textId="77777777" w:rsidR="009211BE" w:rsidRDefault="00CB32B0">
            <w:pPr>
              <w:widowControl/>
              <w:spacing w:line="360" w:lineRule="auto"/>
              <w:ind w:right="3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0.025</w:t>
            </w:r>
          </w:p>
        </w:tc>
      </w:tr>
      <w:tr w:rsidR="009211BE" w14:paraId="2F796754" w14:textId="77777777">
        <w:trPr>
          <w:trHeight w:val="227"/>
        </w:trPr>
        <w:tc>
          <w:tcPr>
            <w:tcW w:w="2694" w:type="dxa"/>
            <w:tcMar>
              <w:top w:w="30" w:type="dxa"/>
              <w:left w:w="0" w:type="dxa"/>
              <w:bottom w:w="19" w:type="dxa"/>
              <w:right w:w="0" w:type="dxa"/>
            </w:tcMar>
            <w:vAlign w:val="center"/>
          </w:tcPr>
          <w:p w14:paraId="093C254B"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性别，男性</w:t>
            </w:r>
          </w:p>
        </w:tc>
        <w:tc>
          <w:tcPr>
            <w:tcW w:w="1984" w:type="dxa"/>
            <w:tcMar>
              <w:top w:w="30" w:type="dxa"/>
              <w:left w:w="0" w:type="dxa"/>
              <w:bottom w:w="19" w:type="dxa"/>
              <w:right w:w="0" w:type="dxa"/>
            </w:tcMar>
            <w:vAlign w:val="center"/>
          </w:tcPr>
          <w:p w14:paraId="636F5A01"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 (64.1)</w:t>
            </w:r>
          </w:p>
        </w:tc>
        <w:tc>
          <w:tcPr>
            <w:tcW w:w="1985" w:type="dxa"/>
            <w:tcMar>
              <w:top w:w="30" w:type="dxa"/>
              <w:left w:w="0" w:type="dxa"/>
              <w:bottom w:w="19" w:type="dxa"/>
              <w:right w:w="0" w:type="dxa"/>
            </w:tcMar>
            <w:vAlign w:val="center"/>
          </w:tcPr>
          <w:p w14:paraId="41DCB533"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124 (63.3)</w:t>
            </w:r>
          </w:p>
        </w:tc>
        <w:tc>
          <w:tcPr>
            <w:tcW w:w="1559" w:type="dxa"/>
            <w:tcMar>
              <w:top w:w="30" w:type="dxa"/>
              <w:left w:w="0" w:type="dxa"/>
              <w:bottom w:w="19" w:type="dxa"/>
              <w:right w:w="0" w:type="dxa"/>
            </w:tcMar>
            <w:vAlign w:val="center"/>
          </w:tcPr>
          <w:p w14:paraId="4B204164" w14:textId="77777777" w:rsidR="009211BE" w:rsidRDefault="00CB32B0">
            <w:pPr>
              <w:widowControl/>
              <w:spacing w:line="360" w:lineRule="auto"/>
              <w:ind w:right="3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0.897</w:t>
            </w:r>
          </w:p>
        </w:tc>
      </w:tr>
      <w:tr w:rsidR="009211BE" w14:paraId="04819C57" w14:textId="77777777">
        <w:trPr>
          <w:trHeight w:val="227"/>
        </w:trPr>
        <w:tc>
          <w:tcPr>
            <w:tcW w:w="2694" w:type="dxa"/>
            <w:tcMar>
              <w:top w:w="30" w:type="dxa"/>
              <w:left w:w="0" w:type="dxa"/>
              <w:bottom w:w="19" w:type="dxa"/>
              <w:right w:w="0" w:type="dxa"/>
            </w:tcMar>
            <w:vAlign w:val="center"/>
          </w:tcPr>
          <w:p w14:paraId="5F7DDEBA"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体重指数，kg/m2</w:t>
            </w:r>
          </w:p>
        </w:tc>
        <w:tc>
          <w:tcPr>
            <w:tcW w:w="1984" w:type="dxa"/>
            <w:tcMar>
              <w:top w:w="30" w:type="dxa"/>
              <w:left w:w="0" w:type="dxa"/>
              <w:bottom w:w="19" w:type="dxa"/>
              <w:right w:w="0" w:type="dxa"/>
            </w:tcMar>
            <w:vAlign w:val="center"/>
          </w:tcPr>
          <w:p w14:paraId="7AD65DE8"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23.8 (21.4–26.3)</w:t>
            </w:r>
          </w:p>
        </w:tc>
        <w:tc>
          <w:tcPr>
            <w:tcW w:w="1985" w:type="dxa"/>
            <w:tcMar>
              <w:top w:w="30" w:type="dxa"/>
              <w:left w:w="0" w:type="dxa"/>
              <w:bottom w:w="19" w:type="dxa"/>
              <w:right w:w="0" w:type="dxa"/>
            </w:tcMar>
            <w:vAlign w:val="center"/>
          </w:tcPr>
          <w:p w14:paraId="0CDD9368"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23.4 (21.4–26.4)</w:t>
            </w:r>
          </w:p>
        </w:tc>
        <w:tc>
          <w:tcPr>
            <w:tcW w:w="1559" w:type="dxa"/>
            <w:tcMar>
              <w:top w:w="30" w:type="dxa"/>
              <w:left w:w="0" w:type="dxa"/>
              <w:bottom w:w="19" w:type="dxa"/>
              <w:right w:w="0" w:type="dxa"/>
            </w:tcMar>
            <w:vAlign w:val="center"/>
          </w:tcPr>
          <w:p w14:paraId="2B6CB5A7" w14:textId="77777777" w:rsidR="009211BE" w:rsidRDefault="00CB32B0">
            <w:pPr>
              <w:widowControl/>
              <w:spacing w:line="360" w:lineRule="auto"/>
              <w:ind w:right="3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0.773</w:t>
            </w:r>
          </w:p>
        </w:tc>
      </w:tr>
      <w:tr w:rsidR="009211BE" w14:paraId="00C5E9D1" w14:textId="77777777">
        <w:trPr>
          <w:trHeight w:val="227"/>
        </w:trPr>
        <w:tc>
          <w:tcPr>
            <w:tcW w:w="2694" w:type="dxa"/>
            <w:tcMar>
              <w:top w:w="30" w:type="dxa"/>
              <w:left w:w="0" w:type="dxa"/>
              <w:bottom w:w="19" w:type="dxa"/>
              <w:right w:w="0" w:type="dxa"/>
            </w:tcMar>
            <w:vAlign w:val="center"/>
          </w:tcPr>
          <w:p w14:paraId="7B5772D2"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病史</w:t>
            </w:r>
          </w:p>
        </w:tc>
        <w:tc>
          <w:tcPr>
            <w:tcW w:w="1984" w:type="dxa"/>
            <w:tcMar>
              <w:top w:w="30" w:type="dxa"/>
              <w:left w:w="0" w:type="dxa"/>
              <w:bottom w:w="19" w:type="dxa"/>
              <w:right w:w="0" w:type="dxa"/>
            </w:tcMar>
            <w:vAlign w:val="center"/>
          </w:tcPr>
          <w:p w14:paraId="64DCCB7D" w14:textId="77777777" w:rsidR="009211BE" w:rsidRDefault="009211BE">
            <w:pPr>
              <w:widowControl/>
              <w:spacing w:line="360" w:lineRule="auto"/>
              <w:ind w:left="160"/>
              <w:jc w:val="center"/>
              <w:rPr>
                <w:rFonts w:ascii="宋体" w:eastAsia="宋体" w:hAnsi="宋体" w:cs="宋体"/>
                <w:color w:val="000000"/>
                <w:kern w:val="0"/>
                <w:sz w:val="24"/>
                <w:szCs w:val="24"/>
              </w:rPr>
            </w:pPr>
          </w:p>
        </w:tc>
        <w:tc>
          <w:tcPr>
            <w:tcW w:w="1985" w:type="dxa"/>
            <w:tcMar>
              <w:top w:w="30" w:type="dxa"/>
              <w:left w:w="0" w:type="dxa"/>
              <w:bottom w:w="19" w:type="dxa"/>
              <w:right w:w="0" w:type="dxa"/>
            </w:tcMar>
            <w:vAlign w:val="center"/>
          </w:tcPr>
          <w:p w14:paraId="05775527" w14:textId="77777777" w:rsidR="009211BE" w:rsidRDefault="009211BE">
            <w:pPr>
              <w:widowControl/>
              <w:spacing w:line="360" w:lineRule="auto"/>
              <w:ind w:left="160"/>
              <w:jc w:val="center"/>
              <w:rPr>
                <w:rFonts w:ascii="宋体" w:eastAsia="宋体" w:hAnsi="宋体" w:cs="宋体"/>
                <w:color w:val="000000"/>
                <w:kern w:val="0"/>
                <w:sz w:val="24"/>
                <w:szCs w:val="24"/>
              </w:rPr>
            </w:pPr>
          </w:p>
        </w:tc>
        <w:tc>
          <w:tcPr>
            <w:tcW w:w="1559" w:type="dxa"/>
            <w:tcMar>
              <w:top w:w="30" w:type="dxa"/>
              <w:left w:w="0" w:type="dxa"/>
              <w:bottom w:w="19" w:type="dxa"/>
              <w:right w:w="0" w:type="dxa"/>
            </w:tcMar>
            <w:vAlign w:val="center"/>
          </w:tcPr>
          <w:p w14:paraId="4E0A6B5F" w14:textId="77777777" w:rsidR="009211BE" w:rsidRDefault="009211BE">
            <w:pPr>
              <w:widowControl/>
              <w:spacing w:line="360" w:lineRule="auto"/>
              <w:ind w:left="160"/>
              <w:jc w:val="center"/>
              <w:rPr>
                <w:rFonts w:ascii="宋体" w:eastAsia="宋体" w:hAnsi="宋体" w:cs="宋体"/>
                <w:color w:val="000000"/>
                <w:kern w:val="0"/>
                <w:sz w:val="24"/>
                <w:szCs w:val="24"/>
              </w:rPr>
            </w:pPr>
          </w:p>
        </w:tc>
      </w:tr>
      <w:tr w:rsidR="009211BE" w14:paraId="6C8B3B27" w14:textId="77777777">
        <w:trPr>
          <w:trHeight w:val="227"/>
        </w:trPr>
        <w:tc>
          <w:tcPr>
            <w:tcW w:w="2694" w:type="dxa"/>
            <w:tcMar>
              <w:top w:w="30" w:type="dxa"/>
              <w:left w:w="0" w:type="dxa"/>
              <w:bottom w:w="19" w:type="dxa"/>
              <w:right w:w="0" w:type="dxa"/>
            </w:tcMar>
            <w:vAlign w:val="center"/>
          </w:tcPr>
          <w:p w14:paraId="43A7A349"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糖尿病</w:t>
            </w:r>
          </w:p>
        </w:tc>
        <w:tc>
          <w:tcPr>
            <w:tcW w:w="1984" w:type="dxa"/>
            <w:tcMar>
              <w:top w:w="30" w:type="dxa"/>
              <w:left w:w="0" w:type="dxa"/>
              <w:bottom w:w="19" w:type="dxa"/>
              <w:right w:w="0" w:type="dxa"/>
            </w:tcMar>
            <w:vAlign w:val="center"/>
          </w:tcPr>
          <w:p w14:paraId="112FEF61" w14:textId="77777777" w:rsidR="009211BE" w:rsidRDefault="00CB32B0">
            <w:pPr>
              <w:widowControl/>
              <w:spacing w:line="360" w:lineRule="auto"/>
              <w:ind w:left="16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 (24.4)</w:t>
            </w:r>
          </w:p>
        </w:tc>
        <w:tc>
          <w:tcPr>
            <w:tcW w:w="1985" w:type="dxa"/>
            <w:tcMar>
              <w:top w:w="30" w:type="dxa"/>
              <w:left w:w="0" w:type="dxa"/>
              <w:bottom w:w="19" w:type="dxa"/>
              <w:right w:w="0" w:type="dxa"/>
            </w:tcMar>
            <w:vAlign w:val="center"/>
          </w:tcPr>
          <w:p w14:paraId="76FF2298" w14:textId="77777777" w:rsidR="009211BE" w:rsidRDefault="00CB32B0">
            <w:pPr>
              <w:widowControl/>
              <w:spacing w:line="360" w:lineRule="auto"/>
              <w:ind w:left="16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71 (36.2)</w:t>
            </w:r>
          </w:p>
        </w:tc>
        <w:tc>
          <w:tcPr>
            <w:tcW w:w="1559" w:type="dxa"/>
            <w:tcMar>
              <w:top w:w="30" w:type="dxa"/>
              <w:left w:w="0" w:type="dxa"/>
              <w:bottom w:w="19" w:type="dxa"/>
              <w:right w:w="0" w:type="dxa"/>
            </w:tcMar>
            <w:vAlign w:val="center"/>
          </w:tcPr>
          <w:p w14:paraId="34DF1090" w14:textId="77777777" w:rsidR="009211BE" w:rsidRDefault="00CB32B0">
            <w:pPr>
              <w:widowControl/>
              <w:spacing w:line="360" w:lineRule="auto"/>
              <w:ind w:left="16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0.059</w:t>
            </w:r>
          </w:p>
        </w:tc>
      </w:tr>
      <w:tr w:rsidR="009211BE" w14:paraId="78094F41" w14:textId="77777777">
        <w:trPr>
          <w:trHeight w:val="227"/>
        </w:trPr>
        <w:tc>
          <w:tcPr>
            <w:tcW w:w="2694" w:type="dxa"/>
            <w:tcMar>
              <w:top w:w="30" w:type="dxa"/>
              <w:left w:w="0" w:type="dxa"/>
              <w:bottom w:w="19" w:type="dxa"/>
              <w:right w:w="0" w:type="dxa"/>
            </w:tcMar>
            <w:vAlign w:val="center"/>
          </w:tcPr>
          <w:p w14:paraId="34693504"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高血压</w:t>
            </w:r>
          </w:p>
        </w:tc>
        <w:tc>
          <w:tcPr>
            <w:tcW w:w="1984" w:type="dxa"/>
            <w:tcMar>
              <w:top w:w="30" w:type="dxa"/>
              <w:left w:w="0" w:type="dxa"/>
              <w:bottom w:w="19" w:type="dxa"/>
              <w:right w:w="0" w:type="dxa"/>
            </w:tcMar>
            <w:vAlign w:val="center"/>
          </w:tcPr>
          <w:p w14:paraId="43239905"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 (39.7)</w:t>
            </w:r>
          </w:p>
        </w:tc>
        <w:tc>
          <w:tcPr>
            <w:tcW w:w="1985" w:type="dxa"/>
            <w:tcMar>
              <w:top w:w="30" w:type="dxa"/>
              <w:left w:w="0" w:type="dxa"/>
              <w:bottom w:w="19" w:type="dxa"/>
              <w:right w:w="0" w:type="dxa"/>
            </w:tcMar>
            <w:vAlign w:val="center"/>
          </w:tcPr>
          <w:p w14:paraId="47B221FE"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92 (46.9)</w:t>
            </w:r>
          </w:p>
        </w:tc>
        <w:tc>
          <w:tcPr>
            <w:tcW w:w="1559" w:type="dxa"/>
            <w:tcMar>
              <w:top w:w="30" w:type="dxa"/>
              <w:left w:w="0" w:type="dxa"/>
              <w:bottom w:w="19" w:type="dxa"/>
              <w:right w:w="0" w:type="dxa"/>
            </w:tcMar>
            <w:vAlign w:val="center"/>
          </w:tcPr>
          <w:p w14:paraId="17CEEA90" w14:textId="77777777" w:rsidR="009211BE" w:rsidRDefault="00CB32B0">
            <w:pPr>
              <w:widowControl/>
              <w:spacing w:line="360" w:lineRule="auto"/>
              <w:ind w:right="3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0.280</w:t>
            </w:r>
          </w:p>
        </w:tc>
      </w:tr>
      <w:tr w:rsidR="009211BE" w14:paraId="69E70162" w14:textId="77777777">
        <w:trPr>
          <w:trHeight w:val="227"/>
        </w:trPr>
        <w:tc>
          <w:tcPr>
            <w:tcW w:w="2694" w:type="dxa"/>
            <w:tcMar>
              <w:top w:w="30" w:type="dxa"/>
              <w:left w:w="0" w:type="dxa"/>
              <w:bottom w:w="19" w:type="dxa"/>
              <w:right w:w="0" w:type="dxa"/>
            </w:tcMar>
            <w:vAlign w:val="center"/>
          </w:tcPr>
          <w:p w14:paraId="1832729E"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恶性肿瘤</w:t>
            </w:r>
          </w:p>
        </w:tc>
        <w:tc>
          <w:tcPr>
            <w:tcW w:w="1984" w:type="dxa"/>
            <w:tcMar>
              <w:top w:w="30" w:type="dxa"/>
              <w:left w:w="0" w:type="dxa"/>
              <w:bottom w:w="19" w:type="dxa"/>
              <w:right w:w="0" w:type="dxa"/>
            </w:tcMar>
            <w:vAlign w:val="center"/>
          </w:tcPr>
          <w:p w14:paraId="6263D091"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 (9.0)</w:t>
            </w:r>
          </w:p>
        </w:tc>
        <w:tc>
          <w:tcPr>
            <w:tcW w:w="1985" w:type="dxa"/>
            <w:tcMar>
              <w:top w:w="30" w:type="dxa"/>
              <w:left w:w="0" w:type="dxa"/>
              <w:bottom w:w="19" w:type="dxa"/>
              <w:right w:w="0" w:type="dxa"/>
            </w:tcMar>
            <w:vAlign w:val="center"/>
          </w:tcPr>
          <w:p w14:paraId="2A453B38"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 (15.8)</w:t>
            </w:r>
          </w:p>
        </w:tc>
        <w:tc>
          <w:tcPr>
            <w:tcW w:w="1559" w:type="dxa"/>
            <w:tcMar>
              <w:top w:w="30" w:type="dxa"/>
              <w:left w:w="0" w:type="dxa"/>
              <w:bottom w:w="19" w:type="dxa"/>
              <w:right w:w="0" w:type="dxa"/>
            </w:tcMar>
            <w:vAlign w:val="center"/>
          </w:tcPr>
          <w:p w14:paraId="3CFDA671" w14:textId="77777777" w:rsidR="009211BE" w:rsidRDefault="00CB32B0">
            <w:pPr>
              <w:widowControl/>
              <w:spacing w:line="360" w:lineRule="auto"/>
              <w:ind w:right="3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0.139</w:t>
            </w:r>
          </w:p>
        </w:tc>
      </w:tr>
      <w:tr w:rsidR="009211BE" w14:paraId="657173CE" w14:textId="77777777">
        <w:trPr>
          <w:trHeight w:val="227"/>
        </w:trPr>
        <w:tc>
          <w:tcPr>
            <w:tcW w:w="2694" w:type="dxa"/>
            <w:tcMar>
              <w:top w:w="30" w:type="dxa"/>
              <w:left w:w="0" w:type="dxa"/>
              <w:bottom w:w="19" w:type="dxa"/>
              <w:right w:w="0" w:type="dxa"/>
            </w:tcMar>
            <w:vAlign w:val="center"/>
          </w:tcPr>
          <w:p w14:paraId="5E2CFF9D"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血脂异常</w:t>
            </w:r>
          </w:p>
        </w:tc>
        <w:tc>
          <w:tcPr>
            <w:tcW w:w="1984" w:type="dxa"/>
            <w:tcMar>
              <w:top w:w="30" w:type="dxa"/>
              <w:left w:w="0" w:type="dxa"/>
              <w:bottom w:w="19" w:type="dxa"/>
              <w:right w:w="0" w:type="dxa"/>
            </w:tcMar>
            <w:vAlign w:val="center"/>
          </w:tcPr>
          <w:p w14:paraId="7F572344"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 (12.8)</w:t>
            </w:r>
          </w:p>
        </w:tc>
        <w:tc>
          <w:tcPr>
            <w:tcW w:w="1985" w:type="dxa"/>
            <w:tcMar>
              <w:top w:w="30" w:type="dxa"/>
              <w:left w:w="0" w:type="dxa"/>
              <w:bottom w:w="19" w:type="dxa"/>
              <w:right w:w="0" w:type="dxa"/>
            </w:tcMar>
            <w:vAlign w:val="center"/>
          </w:tcPr>
          <w:p w14:paraId="4CF0E3DC"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 (11.2)</w:t>
            </w:r>
          </w:p>
        </w:tc>
        <w:tc>
          <w:tcPr>
            <w:tcW w:w="1559" w:type="dxa"/>
            <w:tcMar>
              <w:top w:w="30" w:type="dxa"/>
              <w:left w:w="0" w:type="dxa"/>
              <w:bottom w:w="19" w:type="dxa"/>
              <w:right w:w="0" w:type="dxa"/>
            </w:tcMar>
            <w:vAlign w:val="center"/>
          </w:tcPr>
          <w:p w14:paraId="50624803" w14:textId="77777777" w:rsidR="009211BE" w:rsidRDefault="00CB32B0">
            <w:pPr>
              <w:widowControl/>
              <w:spacing w:line="360" w:lineRule="auto"/>
              <w:ind w:right="3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0.710</w:t>
            </w:r>
          </w:p>
        </w:tc>
      </w:tr>
      <w:tr w:rsidR="009211BE" w14:paraId="430A11BE" w14:textId="77777777">
        <w:trPr>
          <w:trHeight w:val="227"/>
        </w:trPr>
        <w:tc>
          <w:tcPr>
            <w:tcW w:w="2694" w:type="dxa"/>
            <w:tcMar>
              <w:top w:w="30" w:type="dxa"/>
              <w:left w:w="0" w:type="dxa"/>
              <w:bottom w:w="19" w:type="dxa"/>
              <w:right w:w="0" w:type="dxa"/>
            </w:tcMar>
            <w:vAlign w:val="center"/>
          </w:tcPr>
          <w:p w14:paraId="4C748212"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当前吸烟者</w:t>
            </w:r>
          </w:p>
        </w:tc>
        <w:tc>
          <w:tcPr>
            <w:tcW w:w="1984" w:type="dxa"/>
            <w:tcMar>
              <w:top w:w="30" w:type="dxa"/>
              <w:left w:w="0" w:type="dxa"/>
              <w:bottom w:w="19" w:type="dxa"/>
              <w:right w:w="0" w:type="dxa"/>
            </w:tcMar>
            <w:vAlign w:val="center"/>
          </w:tcPr>
          <w:p w14:paraId="2CAEDD62"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 (26.9)</w:t>
            </w:r>
          </w:p>
        </w:tc>
        <w:tc>
          <w:tcPr>
            <w:tcW w:w="1985" w:type="dxa"/>
            <w:tcMar>
              <w:top w:w="30" w:type="dxa"/>
              <w:left w:w="0" w:type="dxa"/>
              <w:bottom w:w="19" w:type="dxa"/>
              <w:right w:w="0" w:type="dxa"/>
            </w:tcMar>
            <w:vAlign w:val="center"/>
          </w:tcPr>
          <w:p w14:paraId="4B6FC135"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 (20.4)</w:t>
            </w:r>
          </w:p>
        </w:tc>
        <w:tc>
          <w:tcPr>
            <w:tcW w:w="1559" w:type="dxa"/>
            <w:tcMar>
              <w:top w:w="30" w:type="dxa"/>
              <w:left w:w="0" w:type="dxa"/>
              <w:bottom w:w="19" w:type="dxa"/>
              <w:right w:w="0" w:type="dxa"/>
            </w:tcMar>
            <w:vAlign w:val="center"/>
          </w:tcPr>
          <w:p w14:paraId="1953E878"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0.242</w:t>
            </w:r>
          </w:p>
        </w:tc>
      </w:tr>
      <w:tr w:rsidR="009211BE" w14:paraId="5BBE5D41" w14:textId="77777777">
        <w:trPr>
          <w:trHeight w:val="227"/>
        </w:trPr>
        <w:tc>
          <w:tcPr>
            <w:tcW w:w="2694" w:type="dxa"/>
            <w:tcMar>
              <w:top w:w="30" w:type="dxa"/>
              <w:left w:w="0" w:type="dxa"/>
              <w:bottom w:w="19" w:type="dxa"/>
              <w:right w:w="0" w:type="dxa"/>
            </w:tcMar>
            <w:vAlign w:val="center"/>
          </w:tcPr>
          <w:p w14:paraId="7457912B"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慢性肾病</w:t>
            </w:r>
            <w:proofErr w:type="gramStart"/>
            <w:r>
              <w:rPr>
                <w:rFonts w:ascii="宋体" w:eastAsia="宋体" w:hAnsi="宋体" w:cs="宋体" w:hint="eastAsia"/>
                <w:color w:val="3B7697"/>
                <w:kern w:val="0"/>
                <w:sz w:val="24"/>
                <w:szCs w:val="24"/>
                <w:vertAlign w:val="superscript"/>
              </w:rPr>
              <w:t>一</w:t>
            </w:r>
            <w:proofErr w:type="gramEnd"/>
          </w:p>
        </w:tc>
        <w:tc>
          <w:tcPr>
            <w:tcW w:w="1984" w:type="dxa"/>
            <w:tcMar>
              <w:top w:w="30" w:type="dxa"/>
              <w:left w:w="0" w:type="dxa"/>
              <w:bottom w:w="19" w:type="dxa"/>
              <w:right w:w="0" w:type="dxa"/>
            </w:tcMar>
            <w:vAlign w:val="center"/>
          </w:tcPr>
          <w:p w14:paraId="5E691515"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 (11.5)</w:t>
            </w:r>
          </w:p>
        </w:tc>
        <w:tc>
          <w:tcPr>
            <w:tcW w:w="1985" w:type="dxa"/>
            <w:tcMar>
              <w:top w:w="30" w:type="dxa"/>
              <w:left w:w="0" w:type="dxa"/>
              <w:bottom w:w="19" w:type="dxa"/>
              <w:right w:w="0" w:type="dxa"/>
            </w:tcMar>
            <w:vAlign w:val="center"/>
          </w:tcPr>
          <w:p w14:paraId="005AA737"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 (15.8)</w:t>
            </w:r>
          </w:p>
        </w:tc>
        <w:tc>
          <w:tcPr>
            <w:tcW w:w="1559" w:type="dxa"/>
            <w:tcMar>
              <w:top w:w="30" w:type="dxa"/>
              <w:left w:w="0" w:type="dxa"/>
              <w:bottom w:w="19" w:type="dxa"/>
              <w:right w:w="0" w:type="dxa"/>
            </w:tcMar>
            <w:vAlign w:val="center"/>
          </w:tcPr>
          <w:p w14:paraId="30CDA1A1" w14:textId="77777777" w:rsidR="009211BE" w:rsidRDefault="00CB32B0">
            <w:pPr>
              <w:widowControl/>
              <w:spacing w:line="360" w:lineRule="auto"/>
              <w:ind w:right="3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0.365</w:t>
            </w:r>
          </w:p>
        </w:tc>
      </w:tr>
      <w:tr w:rsidR="009211BE" w14:paraId="2908B141" w14:textId="77777777">
        <w:trPr>
          <w:trHeight w:val="227"/>
        </w:trPr>
        <w:tc>
          <w:tcPr>
            <w:tcW w:w="2694" w:type="dxa"/>
            <w:tcMar>
              <w:top w:w="30" w:type="dxa"/>
              <w:left w:w="0" w:type="dxa"/>
              <w:bottom w:w="19" w:type="dxa"/>
              <w:right w:w="0" w:type="dxa"/>
            </w:tcMar>
            <w:vAlign w:val="center"/>
          </w:tcPr>
          <w:p w14:paraId="310C5E95"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既往心肌梗死</w:t>
            </w:r>
          </w:p>
        </w:tc>
        <w:tc>
          <w:tcPr>
            <w:tcW w:w="1984" w:type="dxa"/>
            <w:tcMar>
              <w:top w:w="30" w:type="dxa"/>
              <w:left w:w="0" w:type="dxa"/>
              <w:bottom w:w="19" w:type="dxa"/>
              <w:right w:w="0" w:type="dxa"/>
            </w:tcMar>
            <w:vAlign w:val="center"/>
          </w:tcPr>
          <w:p w14:paraId="4295370C"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 (10.3)</w:t>
            </w:r>
          </w:p>
        </w:tc>
        <w:tc>
          <w:tcPr>
            <w:tcW w:w="1985" w:type="dxa"/>
            <w:tcMar>
              <w:top w:w="30" w:type="dxa"/>
              <w:left w:w="0" w:type="dxa"/>
              <w:bottom w:w="19" w:type="dxa"/>
              <w:right w:w="0" w:type="dxa"/>
            </w:tcMar>
            <w:vAlign w:val="center"/>
          </w:tcPr>
          <w:p w14:paraId="716D94AF"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 (15.8)</w:t>
            </w:r>
          </w:p>
        </w:tc>
        <w:tc>
          <w:tcPr>
            <w:tcW w:w="1559" w:type="dxa"/>
            <w:tcMar>
              <w:top w:w="30" w:type="dxa"/>
              <w:left w:w="0" w:type="dxa"/>
              <w:bottom w:w="19" w:type="dxa"/>
              <w:right w:w="0" w:type="dxa"/>
            </w:tcMar>
            <w:vAlign w:val="center"/>
          </w:tcPr>
          <w:p w14:paraId="13EDE8CD" w14:textId="77777777" w:rsidR="009211BE" w:rsidRDefault="00CB32B0">
            <w:pPr>
              <w:widowControl/>
              <w:spacing w:line="360" w:lineRule="auto"/>
              <w:ind w:right="3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0.235</w:t>
            </w:r>
          </w:p>
        </w:tc>
      </w:tr>
      <w:tr w:rsidR="009211BE" w14:paraId="12599857" w14:textId="77777777">
        <w:trPr>
          <w:trHeight w:val="227"/>
        </w:trPr>
        <w:tc>
          <w:tcPr>
            <w:tcW w:w="2694" w:type="dxa"/>
            <w:tcMar>
              <w:top w:w="30" w:type="dxa"/>
              <w:left w:w="0" w:type="dxa"/>
              <w:bottom w:w="19" w:type="dxa"/>
              <w:right w:w="0" w:type="dxa"/>
            </w:tcMar>
            <w:vAlign w:val="center"/>
          </w:tcPr>
          <w:p w14:paraId="4D84C79B"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目标体温管理装置</w:t>
            </w:r>
          </w:p>
        </w:tc>
        <w:tc>
          <w:tcPr>
            <w:tcW w:w="1984" w:type="dxa"/>
            <w:tcMar>
              <w:top w:w="30" w:type="dxa"/>
              <w:left w:w="0" w:type="dxa"/>
              <w:bottom w:w="19" w:type="dxa"/>
              <w:right w:w="0" w:type="dxa"/>
            </w:tcMar>
            <w:vAlign w:val="center"/>
          </w:tcPr>
          <w:p w14:paraId="79EA599A"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 (20.5)</w:t>
            </w:r>
          </w:p>
        </w:tc>
        <w:tc>
          <w:tcPr>
            <w:tcW w:w="1985" w:type="dxa"/>
            <w:tcMar>
              <w:top w:w="30" w:type="dxa"/>
              <w:left w:w="0" w:type="dxa"/>
              <w:bottom w:w="19" w:type="dxa"/>
              <w:right w:w="0" w:type="dxa"/>
            </w:tcMar>
            <w:vAlign w:val="center"/>
          </w:tcPr>
          <w:p w14:paraId="2E7C500C"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 (10.2)</w:t>
            </w:r>
          </w:p>
        </w:tc>
        <w:tc>
          <w:tcPr>
            <w:tcW w:w="1559" w:type="dxa"/>
            <w:tcMar>
              <w:top w:w="30" w:type="dxa"/>
              <w:left w:w="0" w:type="dxa"/>
              <w:bottom w:w="19" w:type="dxa"/>
              <w:right w:w="0" w:type="dxa"/>
            </w:tcMar>
            <w:vAlign w:val="center"/>
          </w:tcPr>
          <w:p w14:paraId="7217B3CC" w14:textId="77777777" w:rsidR="009211BE" w:rsidRDefault="00CB32B0">
            <w:pPr>
              <w:widowControl/>
              <w:spacing w:line="360" w:lineRule="auto"/>
              <w:ind w:right="3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0.023</w:t>
            </w:r>
          </w:p>
        </w:tc>
      </w:tr>
      <w:tr w:rsidR="009211BE" w14:paraId="0B55ED07" w14:textId="77777777">
        <w:trPr>
          <w:trHeight w:val="227"/>
        </w:trPr>
        <w:tc>
          <w:tcPr>
            <w:tcW w:w="2694" w:type="dxa"/>
            <w:tcMar>
              <w:top w:w="30" w:type="dxa"/>
              <w:left w:w="0" w:type="dxa"/>
              <w:bottom w:w="19" w:type="dxa"/>
              <w:right w:w="0" w:type="dxa"/>
            </w:tcMar>
            <w:vAlign w:val="center"/>
          </w:tcPr>
          <w:p w14:paraId="12360592" w14:textId="77777777" w:rsidR="009211BE" w:rsidRDefault="00CB32B0">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Arctic Sun体温控制仪</w:t>
            </w:r>
          </w:p>
        </w:tc>
        <w:tc>
          <w:tcPr>
            <w:tcW w:w="1984" w:type="dxa"/>
            <w:tcMar>
              <w:top w:w="30" w:type="dxa"/>
              <w:left w:w="0" w:type="dxa"/>
              <w:bottom w:w="19" w:type="dxa"/>
              <w:right w:w="0" w:type="dxa"/>
            </w:tcMar>
            <w:vAlign w:val="center"/>
          </w:tcPr>
          <w:p w14:paraId="3D805BD9"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 (9.0)</w:t>
            </w:r>
          </w:p>
        </w:tc>
        <w:tc>
          <w:tcPr>
            <w:tcW w:w="1985" w:type="dxa"/>
            <w:tcMar>
              <w:top w:w="30" w:type="dxa"/>
              <w:left w:w="0" w:type="dxa"/>
              <w:bottom w:w="19" w:type="dxa"/>
              <w:right w:w="0" w:type="dxa"/>
            </w:tcMar>
            <w:vAlign w:val="center"/>
          </w:tcPr>
          <w:p w14:paraId="00507B50"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 (7.7)</w:t>
            </w:r>
          </w:p>
        </w:tc>
        <w:tc>
          <w:tcPr>
            <w:tcW w:w="1559" w:type="dxa"/>
            <w:tcMar>
              <w:top w:w="30" w:type="dxa"/>
              <w:left w:w="0" w:type="dxa"/>
              <w:bottom w:w="19" w:type="dxa"/>
              <w:right w:w="0" w:type="dxa"/>
            </w:tcMar>
            <w:vAlign w:val="center"/>
          </w:tcPr>
          <w:p w14:paraId="2A97599F" w14:textId="77777777" w:rsidR="009211BE" w:rsidRDefault="009211BE">
            <w:pPr>
              <w:widowControl/>
              <w:spacing w:line="360" w:lineRule="auto"/>
              <w:jc w:val="center"/>
              <w:rPr>
                <w:rFonts w:ascii="宋体" w:eastAsia="宋体" w:hAnsi="宋体" w:cs="宋体"/>
                <w:color w:val="000000"/>
                <w:kern w:val="0"/>
                <w:sz w:val="24"/>
                <w:szCs w:val="24"/>
              </w:rPr>
            </w:pPr>
          </w:p>
        </w:tc>
      </w:tr>
      <w:tr w:rsidR="009211BE" w14:paraId="586E2142" w14:textId="77777777">
        <w:trPr>
          <w:trHeight w:val="227"/>
        </w:trPr>
        <w:tc>
          <w:tcPr>
            <w:tcW w:w="2694" w:type="dxa"/>
            <w:tcMar>
              <w:top w:w="30" w:type="dxa"/>
              <w:left w:w="0" w:type="dxa"/>
              <w:bottom w:w="19" w:type="dxa"/>
              <w:right w:w="0" w:type="dxa"/>
            </w:tcMar>
            <w:vAlign w:val="center"/>
          </w:tcPr>
          <w:p w14:paraId="7A72D33F" w14:textId="77777777" w:rsidR="009211BE" w:rsidRDefault="00CB32B0">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降温</w:t>
            </w:r>
            <w:proofErr w:type="gramStart"/>
            <w:r>
              <w:rPr>
                <w:rFonts w:ascii="宋体" w:eastAsia="宋体" w:hAnsi="宋体" w:cs="宋体" w:hint="eastAsia"/>
                <w:color w:val="000000"/>
                <w:kern w:val="0"/>
                <w:sz w:val="24"/>
                <w:szCs w:val="24"/>
              </w:rPr>
              <w:t>毯</w:t>
            </w:r>
            <w:proofErr w:type="gramEnd"/>
          </w:p>
        </w:tc>
        <w:tc>
          <w:tcPr>
            <w:tcW w:w="1984" w:type="dxa"/>
            <w:tcMar>
              <w:top w:w="30" w:type="dxa"/>
              <w:left w:w="0" w:type="dxa"/>
              <w:bottom w:w="19" w:type="dxa"/>
              <w:right w:w="0" w:type="dxa"/>
            </w:tcMar>
            <w:vAlign w:val="center"/>
          </w:tcPr>
          <w:p w14:paraId="221F1073"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 (11.5)</w:t>
            </w:r>
          </w:p>
        </w:tc>
        <w:tc>
          <w:tcPr>
            <w:tcW w:w="1985" w:type="dxa"/>
            <w:tcMar>
              <w:top w:w="30" w:type="dxa"/>
              <w:left w:w="0" w:type="dxa"/>
              <w:bottom w:w="19" w:type="dxa"/>
              <w:right w:w="0" w:type="dxa"/>
            </w:tcMar>
            <w:vAlign w:val="center"/>
          </w:tcPr>
          <w:p w14:paraId="1CC6C94C"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 (2.6)</w:t>
            </w:r>
          </w:p>
        </w:tc>
        <w:tc>
          <w:tcPr>
            <w:tcW w:w="1559" w:type="dxa"/>
            <w:tcMar>
              <w:top w:w="30" w:type="dxa"/>
              <w:left w:w="0" w:type="dxa"/>
              <w:bottom w:w="19" w:type="dxa"/>
              <w:right w:w="0" w:type="dxa"/>
            </w:tcMar>
            <w:vAlign w:val="center"/>
          </w:tcPr>
          <w:p w14:paraId="112520F5" w14:textId="77777777" w:rsidR="009211BE" w:rsidRDefault="009211BE">
            <w:pPr>
              <w:widowControl/>
              <w:spacing w:line="360" w:lineRule="auto"/>
              <w:jc w:val="center"/>
              <w:rPr>
                <w:rFonts w:ascii="宋体" w:eastAsia="宋体" w:hAnsi="宋体" w:cs="宋体"/>
                <w:color w:val="000000"/>
                <w:kern w:val="0"/>
                <w:sz w:val="24"/>
                <w:szCs w:val="24"/>
              </w:rPr>
            </w:pPr>
          </w:p>
        </w:tc>
      </w:tr>
      <w:tr w:rsidR="009211BE" w14:paraId="5EF7706F" w14:textId="77777777">
        <w:trPr>
          <w:trHeight w:val="227"/>
        </w:trPr>
        <w:tc>
          <w:tcPr>
            <w:tcW w:w="2694" w:type="dxa"/>
            <w:tcMar>
              <w:top w:w="30" w:type="dxa"/>
              <w:left w:w="0" w:type="dxa"/>
              <w:bottom w:w="19" w:type="dxa"/>
              <w:right w:w="0" w:type="dxa"/>
            </w:tcMar>
            <w:vAlign w:val="center"/>
          </w:tcPr>
          <w:p w14:paraId="13FEBB0B"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SOFA得分</w:t>
            </w:r>
          </w:p>
        </w:tc>
        <w:tc>
          <w:tcPr>
            <w:tcW w:w="1984" w:type="dxa"/>
            <w:tcMar>
              <w:top w:w="30" w:type="dxa"/>
              <w:left w:w="0" w:type="dxa"/>
              <w:bottom w:w="19" w:type="dxa"/>
              <w:right w:w="0" w:type="dxa"/>
            </w:tcMar>
            <w:vAlign w:val="center"/>
          </w:tcPr>
          <w:p w14:paraId="2E5A5536"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11.5 (9.0–13.0)</w:t>
            </w:r>
          </w:p>
        </w:tc>
        <w:tc>
          <w:tcPr>
            <w:tcW w:w="1985" w:type="dxa"/>
            <w:tcMar>
              <w:top w:w="30" w:type="dxa"/>
              <w:left w:w="0" w:type="dxa"/>
              <w:bottom w:w="19" w:type="dxa"/>
              <w:right w:w="0" w:type="dxa"/>
            </w:tcMar>
            <w:vAlign w:val="center"/>
          </w:tcPr>
          <w:p w14:paraId="5A83C5A4"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13.0 (11.0–14.0)</w:t>
            </w:r>
          </w:p>
        </w:tc>
        <w:tc>
          <w:tcPr>
            <w:tcW w:w="1559" w:type="dxa"/>
            <w:tcMar>
              <w:top w:w="30" w:type="dxa"/>
              <w:left w:w="0" w:type="dxa"/>
              <w:bottom w:w="19" w:type="dxa"/>
              <w:right w:w="0" w:type="dxa"/>
            </w:tcMar>
            <w:vAlign w:val="center"/>
          </w:tcPr>
          <w:p w14:paraId="0C421A4B"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&lt;0.001</w:t>
            </w:r>
          </w:p>
        </w:tc>
      </w:tr>
      <w:tr w:rsidR="009211BE" w14:paraId="0EA5DC37" w14:textId="77777777">
        <w:trPr>
          <w:trHeight w:val="227"/>
        </w:trPr>
        <w:tc>
          <w:tcPr>
            <w:tcW w:w="2694" w:type="dxa"/>
            <w:tcMar>
              <w:top w:w="30" w:type="dxa"/>
              <w:left w:w="0" w:type="dxa"/>
              <w:bottom w:w="19" w:type="dxa"/>
              <w:right w:w="0" w:type="dxa"/>
            </w:tcMar>
            <w:vAlign w:val="center"/>
          </w:tcPr>
          <w:p w14:paraId="55A12D36"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SAVE分数</w:t>
            </w:r>
          </w:p>
          <w:p w14:paraId="2350571F"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ECPR得分</w:t>
            </w:r>
          </w:p>
        </w:tc>
        <w:tc>
          <w:tcPr>
            <w:tcW w:w="1984" w:type="dxa"/>
            <w:tcMar>
              <w:top w:w="30" w:type="dxa"/>
              <w:left w:w="0" w:type="dxa"/>
              <w:bottom w:w="19" w:type="dxa"/>
              <w:right w:w="0" w:type="dxa"/>
            </w:tcMar>
            <w:vAlign w:val="center"/>
          </w:tcPr>
          <w:p w14:paraId="5C2B0651"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8.0（11.0至5.0）</w:t>
            </w:r>
          </w:p>
          <w:p w14:paraId="799E4B42"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12.0 (12.0–14.0)</w:t>
            </w:r>
          </w:p>
        </w:tc>
        <w:tc>
          <w:tcPr>
            <w:tcW w:w="1985" w:type="dxa"/>
            <w:tcMar>
              <w:top w:w="30" w:type="dxa"/>
              <w:left w:w="0" w:type="dxa"/>
              <w:bottom w:w="19" w:type="dxa"/>
              <w:right w:w="0" w:type="dxa"/>
            </w:tcMar>
            <w:vAlign w:val="center"/>
          </w:tcPr>
          <w:p w14:paraId="48BA0A27"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11（14.0至8.0）</w:t>
            </w:r>
          </w:p>
          <w:p w14:paraId="242458A8"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9.0 (7.0–11.5)</w:t>
            </w:r>
          </w:p>
        </w:tc>
        <w:tc>
          <w:tcPr>
            <w:tcW w:w="1559" w:type="dxa"/>
            <w:tcMar>
              <w:top w:w="30" w:type="dxa"/>
              <w:left w:w="0" w:type="dxa"/>
              <w:bottom w:w="19" w:type="dxa"/>
              <w:right w:w="0" w:type="dxa"/>
            </w:tcMar>
            <w:vAlign w:val="center"/>
          </w:tcPr>
          <w:p w14:paraId="2169DA62"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&lt;0.001</w:t>
            </w:r>
          </w:p>
          <w:p w14:paraId="74EBA1AA"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&lt;0.001</w:t>
            </w:r>
          </w:p>
        </w:tc>
      </w:tr>
      <w:tr w:rsidR="009211BE" w14:paraId="36389FE3" w14:textId="77777777">
        <w:trPr>
          <w:trHeight w:val="227"/>
        </w:trPr>
        <w:tc>
          <w:tcPr>
            <w:tcW w:w="2694" w:type="dxa"/>
            <w:tcMar>
              <w:top w:w="30" w:type="dxa"/>
              <w:left w:w="0" w:type="dxa"/>
              <w:bottom w:w="19" w:type="dxa"/>
              <w:right w:w="0" w:type="dxa"/>
            </w:tcMar>
            <w:vAlign w:val="center"/>
          </w:tcPr>
          <w:p w14:paraId="0BFDDB5D"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入院检验资料</w:t>
            </w:r>
          </w:p>
        </w:tc>
        <w:tc>
          <w:tcPr>
            <w:tcW w:w="1984" w:type="dxa"/>
            <w:tcMar>
              <w:top w:w="30" w:type="dxa"/>
              <w:left w:w="0" w:type="dxa"/>
              <w:bottom w:w="19" w:type="dxa"/>
              <w:right w:w="0" w:type="dxa"/>
            </w:tcMar>
            <w:vAlign w:val="center"/>
          </w:tcPr>
          <w:p w14:paraId="24D526CD" w14:textId="77777777" w:rsidR="009211BE" w:rsidRDefault="009211BE">
            <w:pPr>
              <w:widowControl/>
              <w:spacing w:line="360" w:lineRule="auto"/>
              <w:jc w:val="center"/>
              <w:rPr>
                <w:rFonts w:ascii="宋体" w:eastAsia="宋体" w:hAnsi="宋体" w:cs="宋体"/>
                <w:color w:val="000000"/>
                <w:kern w:val="0"/>
                <w:sz w:val="24"/>
                <w:szCs w:val="24"/>
              </w:rPr>
            </w:pPr>
          </w:p>
        </w:tc>
        <w:tc>
          <w:tcPr>
            <w:tcW w:w="1985" w:type="dxa"/>
            <w:tcMar>
              <w:top w:w="30" w:type="dxa"/>
              <w:left w:w="0" w:type="dxa"/>
              <w:bottom w:w="19" w:type="dxa"/>
              <w:right w:w="0" w:type="dxa"/>
            </w:tcMar>
            <w:vAlign w:val="center"/>
          </w:tcPr>
          <w:p w14:paraId="203E39CD" w14:textId="77777777" w:rsidR="009211BE" w:rsidRDefault="009211BE">
            <w:pPr>
              <w:widowControl/>
              <w:spacing w:line="360" w:lineRule="auto"/>
              <w:jc w:val="center"/>
              <w:rPr>
                <w:rFonts w:ascii="宋体" w:eastAsia="宋体" w:hAnsi="宋体" w:cs="宋体"/>
                <w:color w:val="000000"/>
                <w:kern w:val="0"/>
                <w:sz w:val="24"/>
                <w:szCs w:val="24"/>
              </w:rPr>
            </w:pPr>
          </w:p>
        </w:tc>
        <w:tc>
          <w:tcPr>
            <w:tcW w:w="1559" w:type="dxa"/>
            <w:tcMar>
              <w:top w:w="30" w:type="dxa"/>
              <w:left w:w="0" w:type="dxa"/>
              <w:bottom w:w="19" w:type="dxa"/>
              <w:right w:w="0" w:type="dxa"/>
            </w:tcMar>
            <w:vAlign w:val="center"/>
          </w:tcPr>
          <w:p w14:paraId="0E3C3136" w14:textId="77777777" w:rsidR="009211BE" w:rsidRDefault="009211BE">
            <w:pPr>
              <w:widowControl/>
              <w:spacing w:line="360" w:lineRule="auto"/>
              <w:jc w:val="center"/>
              <w:rPr>
                <w:rFonts w:ascii="宋体" w:eastAsia="宋体" w:hAnsi="宋体" w:cs="宋体"/>
                <w:color w:val="000000"/>
                <w:kern w:val="0"/>
                <w:sz w:val="24"/>
                <w:szCs w:val="24"/>
              </w:rPr>
            </w:pPr>
          </w:p>
        </w:tc>
      </w:tr>
      <w:tr w:rsidR="009211BE" w14:paraId="014D9193" w14:textId="77777777">
        <w:trPr>
          <w:trHeight w:val="227"/>
        </w:trPr>
        <w:tc>
          <w:tcPr>
            <w:tcW w:w="2694" w:type="dxa"/>
            <w:tcMar>
              <w:top w:w="30" w:type="dxa"/>
              <w:left w:w="0" w:type="dxa"/>
              <w:bottom w:w="19" w:type="dxa"/>
              <w:right w:w="0" w:type="dxa"/>
            </w:tcMar>
            <w:vAlign w:val="center"/>
          </w:tcPr>
          <w:p w14:paraId="355A94F1"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初始乳酸，mmol/L</w:t>
            </w:r>
          </w:p>
        </w:tc>
        <w:tc>
          <w:tcPr>
            <w:tcW w:w="1984" w:type="dxa"/>
            <w:tcMar>
              <w:top w:w="30" w:type="dxa"/>
              <w:left w:w="0" w:type="dxa"/>
              <w:bottom w:w="19" w:type="dxa"/>
              <w:right w:w="0" w:type="dxa"/>
            </w:tcMar>
            <w:vAlign w:val="center"/>
          </w:tcPr>
          <w:p w14:paraId="6F10B458"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7.2 (2.56–11.2)</w:t>
            </w:r>
          </w:p>
        </w:tc>
        <w:tc>
          <w:tcPr>
            <w:tcW w:w="1985" w:type="dxa"/>
            <w:tcMar>
              <w:top w:w="30" w:type="dxa"/>
              <w:left w:w="0" w:type="dxa"/>
              <w:bottom w:w="19" w:type="dxa"/>
              <w:right w:w="0" w:type="dxa"/>
            </w:tcMar>
            <w:vAlign w:val="center"/>
          </w:tcPr>
          <w:p w14:paraId="6EE38927"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9.4 (5.5–13.4)</w:t>
            </w:r>
          </w:p>
        </w:tc>
        <w:tc>
          <w:tcPr>
            <w:tcW w:w="1559" w:type="dxa"/>
            <w:tcMar>
              <w:top w:w="30" w:type="dxa"/>
              <w:left w:w="0" w:type="dxa"/>
              <w:bottom w:w="19" w:type="dxa"/>
              <w:right w:w="0" w:type="dxa"/>
            </w:tcMar>
            <w:vAlign w:val="center"/>
          </w:tcPr>
          <w:p w14:paraId="2A11A0AB"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0.004</w:t>
            </w:r>
          </w:p>
        </w:tc>
      </w:tr>
      <w:tr w:rsidR="009211BE" w14:paraId="1CF35E8F" w14:textId="77777777">
        <w:trPr>
          <w:trHeight w:val="227"/>
        </w:trPr>
        <w:tc>
          <w:tcPr>
            <w:tcW w:w="2694" w:type="dxa"/>
            <w:tcMar>
              <w:top w:w="30" w:type="dxa"/>
              <w:left w:w="0" w:type="dxa"/>
              <w:bottom w:w="19" w:type="dxa"/>
              <w:right w:w="0" w:type="dxa"/>
            </w:tcMar>
            <w:vAlign w:val="center"/>
          </w:tcPr>
          <w:p w14:paraId="17D65287" w14:textId="77777777" w:rsidR="009211BE" w:rsidRDefault="00CB32B0">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&lt;2</w:t>
            </w:r>
          </w:p>
        </w:tc>
        <w:tc>
          <w:tcPr>
            <w:tcW w:w="1984" w:type="dxa"/>
            <w:tcMar>
              <w:top w:w="30" w:type="dxa"/>
              <w:left w:w="0" w:type="dxa"/>
              <w:bottom w:w="19" w:type="dxa"/>
              <w:right w:w="0" w:type="dxa"/>
            </w:tcMar>
            <w:vAlign w:val="center"/>
          </w:tcPr>
          <w:p w14:paraId="1428B946"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 (17.9)</w:t>
            </w:r>
          </w:p>
        </w:tc>
        <w:tc>
          <w:tcPr>
            <w:tcW w:w="1985" w:type="dxa"/>
            <w:tcMar>
              <w:top w:w="30" w:type="dxa"/>
              <w:left w:w="0" w:type="dxa"/>
              <w:bottom w:w="19" w:type="dxa"/>
              <w:right w:w="0" w:type="dxa"/>
            </w:tcMar>
            <w:vAlign w:val="center"/>
          </w:tcPr>
          <w:p w14:paraId="79586231"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 (3.9)</w:t>
            </w:r>
          </w:p>
        </w:tc>
        <w:tc>
          <w:tcPr>
            <w:tcW w:w="1559" w:type="dxa"/>
            <w:tcMar>
              <w:top w:w="30" w:type="dxa"/>
              <w:left w:w="0" w:type="dxa"/>
              <w:bottom w:w="19" w:type="dxa"/>
              <w:right w:w="0" w:type="dxa"/>
            </w:tcMar>
            <w:vAlign w:val="center"/>
          </w:tcPr>
          <w:p w14:paraId="4EBBFD5B" w14:textId="77777777" w:rsidR="009211BE" w:rsidRDefault="009211BE">
            <w:pPr>
              <w:widowControl/>
              <w:spacing w:line="360" w:lineRule="auto"/>
              <w:jc w:val="center"/>
              <w:rPr>
                <w:rFonts w:ascii="宋体" w:eastAsia="宋体" w:hAnsi="宋体" w:cs="宋体"/>
                <w:color w:val="000000"/>
                <w:kern w:val="0"/>
                <w:sz w:val="24"/>
                <w:szCs w:val="24"/>
              </w:rPr>
            </w:pPr>
          </w:p>
        </w:tc>
      </w:tr>
      <w:tr w:rsidR="009211BE" w14:paraId="5AB4961A" w14:textId="77777777">
        <w:trPr>
          <w:trHeight w:val="227"/>
        </w:trPr>
        <w:tc>
          <w:tcPr>
            <w:tcW w:w="2694" w:type="dxa"/>
            <w:tcMar>
              <w:top w:w="30" w:type="dxa"/>
              <w:left w:w="0" w:type="dxa"/>
              <w:bottom w:w="19" w:type="dxa"/>
              <w:right w:w="0" w:type="dxa"/>
            </w:tcMar>
            <w:vAlign w:val="center"/>
          </w:tcPr>
          <w:p w14:paraId="3F7F46E7" w14:textId="77777777" w:rsidR="009211BE" w:rsidRDefault="00CB32B0">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1984" w:type="dxa"/>
            <w:tcMar>
              <w:top w:w="30" w:type="dxa"/>
              <w:left w:w="0" w:type="dxa"/>
              <w:bottom w:w="19" w:type="dxa"/>
              <w:right w:w="0" w:type="dxa"/>
            </w:tcMar>
            <w:vAlign w:val="center"/>
          </w:tcPr>
          <w:p w14:paraId="10CFD32E"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 (40.3)</w:t>
            </w:r>
          </w:p>
        </w:tc>
        <w:tc>
          <w:tcPr>
            <w:tcW w:w="1985" w:type="dxa"/>
            <w:tcMar>
              <w:top w:w="30" w:type="dxa"/>
              <w:left w:w="0" w:type="dxa"/>
              <w:bottom w:w="19" w:type="dxa"/>
              <w:right w:w="0" w:type="dxa"/>
            </w:tcMar>
            <w:vAlign w:val="center"/>
          </w:tcPr>
          <w:p w14:paraId="0FE53539"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54 (35.3)</w:t>
            </w:r>
          </w:p>
        </w:tc>
        <w:tc>
          <w:tcPr>
            <w:tcW w:w="1559" w:type="dxa"/>
            <w:tcMar>
              <w:top w:w="30" w:type="dxa"/>
              <w:left w:w="0" w:type="dxa"/>
              <w:bottom w:w="19" w:type="dxa"/>
              <w:right w:w="0" w:type="dxa"/>
            </w:tcMar>
            <w:vAlign w:val="center"/>
          </w:tcPr>
          <w:p w14:paraId="6737974F" w14:textId="77777777" w:rsidR="009211BE" w:rsidRDefault="009211BE">
            <w:pPr>
              <w:widowControl/>
              <w:spacing w:line="360" w:lineRule="auto"/>
              <w:jc w:val="center"/>
              <w:rPr>
                <w:rFonts w:ascii="宋体" w:eastAsia="宋体" w:hAnsi="宋体" w:cs="宋体"/>
                <w:color w:val="000000"/>
                <w:kern w:val="0"/>
                <w:sz w:val="24"/>
                <w:szCs w:val="24"/>
              </w:rPr>
            </w:pPr>
          </w:p>
        </w:tc>
      </w:tr>
      <w:tr w:rsidR="009211BE" w14:paraId="2F195592" w14:textId="77777777">
        <w:trPr>
          <w:trHeight w:val="227"/>
        </w:trPr>
        <w:tc>
          <w:tcPr>
            <w:tcW w:w="2694" w:type="dxa"/>
            <w:tcMar>
              <w:top w:w="30" w:type="dxa"/>
              <w:left w:w="0" w:type="dxa"/>
              <w:bottom w:w="19" w:type="dxa"/>
              <w:right w:w="0" w:type="dxa"/>
            </w:tcMar>
            <w:vAlign w:val="center"/>
          </w:tcPr>
          <w:p w14:paraId="5CEF4C91" w14:textId="77777777" w:rsidR="009211BE" w:rsidRDefault="00CB32B0">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&gt;8</w:t>
            </w:r>
          </w:p>
        </w:tc>
        <w:tc>
          <w:tcPr>
            <w:tcW w:w="1984" w:type="dxa"/>
            <w:tcMar>
              <w:top w:w="30" w:type="dxa"/>
              <w:left w:w="0" w:type="dxa"/>
              <w:bottom w:w="19" w:type="dxa"/>
              <w:right w:w="0" w:type="dxa"/>
            </w:tcMar>
            <w:vAlign w:val="center"/>
          </w:tcPr>
          <w:p w14:paraId="635950CF"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 (41.8)</w:t>
            </w:r>
          </w:p>
        </w:tc>
        <w:tc>
          <w:tcPr>
            <w:tcW w:w="1985" w:type="dxa"/>
            <w:tcMar>
              <w:top w:w="30" w:type="dxa"/>
              <w:left w:w="0" w:type="dxa"/>
              <w:bottom w:w="19" w:type="dxa"/>
              <w:right w:w="0" w:type="dxa"/>
            </w:tcMar>
            <w:vAlign w:val="center"/>
          </w:tcPr>
          <w:p w14:paraId="747DF1E2"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93 (60.8)</w:t>
            </w:r>
          </w:p>
        </w:tc>
        <w:tc>
          <w:tcPr>
            <w:tcW w:w="1559" w:type="dxa"/>
            <w:tcMar>
              <w:top w:w="30" w:type="dxa"/>
              <w:left w:w="0" w:type="dxa"/>
              <w:bottom w:w="19" w:type="dxa"/>
              <w:right w:w="0" w:type="dxa"/>
            </w:tcMar>
            <w:vAlign w:val="center"/>
          </w:tcPr>
          <w:p w14:paraId="1EB55F65" w14:textId="77777777" w:rsidR="009211BE" w:rsidRDefault="009211BE">
            <w:pPr>
              <w:widowControl/>
              <w:spacing w:line="360" w:lineRule="auto"/>
              <w:jc w:val="center"/>
              <w:rPr>
                <w:rFonts w:ascii="宋体" w:eastAsia="宋体" w:hAnsi="宋体" w:cs="宋体"/>
                <w:color w:val="000000"/>
                <w:kern w:val="0"/>
                <w:sz w:val="24"/>
                <w:szCs w:val="24"/>
              </w:rPr>
            </w:pPr>
          </w:p>
        </w:tc>
      </w:tr>
      <w:tr w:rsidR="009211BE" w14:paraId="76A2F431" w14:textId="77777777">
        <w:trPr>
          <w:trHeight w:val="227"/>
        </w:trPr>
        <w:tc>
          <w:tcPr>
            <w:tcW w:w="2694" w:type="dxa"/>
            <w:tcMar>
              <w:top w:w="30" w:type="dxa"/>
              <w:left w:w="0" w:type="dxa"/>
              <w:bottom w:w="19" w:type="dxa"/>
              <w:right w:w="0" w:type="dxa"/>
            </w:tcMar>
            <w:vAlign w:val="center"/>
          </w:tcPr>
          <w:p w14:paraId="79F49E7F"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ECMO前血红蛋白，g/dL</w:t>
            </w:r>
          </w:p>
        </w:tc>
        <w:tc>
          <w:tcPr>
            <w:tcW w:w="1984" w:type="dxa"/>
            <w:tcMar>
              <w:top w:w="30" w:type="dxa"/>
              <w:left w:w="0" w:type="dxa"/>
              <w:bottom w:w="19" w:type="dxa"/>
              <w:right w:w="0" w:type="dxa"/>
            </w:tcMar>
            <w:vAlign w:val="center"/>
          </w:tcPr>
          <w:p w14:paraId="387173E2"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11.6 (10.0–14.6)</w:t>
            </w:r>
          </w:p>
        </w:tc>
        <w:tc>
          <w:tcPr>
            <w:tcW w:w="1985" w:type="dxa"/>
            <w:tcMar>
              <w:top w:w="30" w:type="dxa"/>
              <w:left w:w="0" w:type="dxa"/>
              <w:bottom w:w="19" w:type="dxa"/>
              <w:right w:w="0" w:type="dxa"/>
            </w:tcMar>
            <w:vAlign w:val="center"/>
          </w:tcPr>
          <w:p w14:paraId="737787C8"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10.7 (8.9–12.6)</w:t>
            </w:r>
          </w:p>
        </w:tc>
        <w:tc>
          <w:tcPr>
            <w:tcW w:w="1559" w:type="dxa"/>
            <w:tcMar>
              <w:top w:w="30" w:type="dxa"/>
              <w:left w:w="0" w:type="dxa"/>
              <w:bottom w:w="19" w:type="dxa"/>
              <w:right w:w="0" w:type="dxa"/>
            </w:tcMar>
            <w:vAlign w:val="center"/>
          </w:tcPr>
          <w:p w14:paraId="4BA0E5F6" w14:textId="77777777" w:rsidR="009211BE" w:rsidRDefault="00CB32B0">
            <w:pPr>
              <w:widowControl/>
              <w:spacing w:line="360" w:lineRule="auto"/>
              <w:ind w:right="3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0.005</w:t>
            </w:r>
          </w:p>
        </w:tc>
      </w:tr>
      <w:tr w:rsidR="009211BE" w14:paraId="64420B3F" w14:textId="77777777">
        <w:trPr>
          <w:trHeight w:val="227"/>
        </w:trPr>
        <w:tc>
          <w:tcPr>
            <w:tcW w:w="2694" w:type="dxa"/>
            <w:tcMar>
              <w:top w:w="30" w:type="dxa"/>
              <w:left w:w="0" w:type="dxa"/>
              <w:bottom w:w="19" w:type="dxa"/>
              <w:right w:w="0" w:type="dxa"/>
            </w:tcMar>
            <w:vAlign w:val="center"/>
          </w:tcPr>
          <w:p w14:paraId="647EF63B"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ECMO后血红蛋白，g/dL</w:t>
            </w:r>
          </w:p>
        </w:tc>
        <w:tc>
          <w:tcPr>
            <w:tcW w:w="1984" w:type="dxa"/>
            <w:tcMar>
              <w:top w:w="30" w:type="dxa"/>
              <w:left w:w="0" w:type="dxa"/>
              <w:bottom w:w="19" w:type="dxa"/>
              <w:right w:w="0" w:type="dxa"/>
            </w:tcMar>
            <w:vAlign w:val="center"/>
          </w:tcPr>
          <w:p w14:paraId="75B92E24"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 (8.8–11.8)</w:t>
            </w:r>
          </w:p>
        </w:tc>
        <w:tc>
          <w:tcPr>
            <w:tcW w:w="1985" w:type="dxa"/>
            <w:tcMar>
              <w:top w:w="30" w:type="dxa"/>
              <w:left w:w="0" w:type="dxa"/>
              <w:bottom w:w="19" w:type="dxa"/>
              <w:right w:w="0" w:type="dxa"/>
            </w:tcMar>
            <w:vAlign w:val="center"/>
          </w:tcPr>
          <w:p w14:paraId="5C2C0CD1"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9.2 (7.5–11.5)</w:t>
            </w:r>
          </w:p>
        </w:tc>
        <w:tc>
          <w:tcPr>
            <w:tcW w:w="1559" w:type="dxa"/>
            <w:tcMar>
              <w:top w:w="30" w:type="dxa"/>
              <w:left w:w="0" w:type="dxa"/>
              <w:bottom w:w="19" w:type="dxa"/>
              <w:right w:w="0" w:type="dxa"/>
            </w:tcMar>
            <w:vAlign w:val="center"/>
          </w:tcPr>
          <w:p w14:paraId="20F4A3F1" w14:textId="77777777" w:rsidR="009211BE" w:rsidRDefault="00CB32B0">
            <w:pPr>
              <w:widowControl/>
              <w:spacing w:line="360" w:lineRule="auto"/>
              <w:ind w:right="3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0.119</w:t>
            </w:r>
          </w:p>
        </w:tc>
      </w:tr>
      <w:tr w:rsidR="009211BE" w14:paraId="1154A456" w14:textId="77777777">
        <w:trPr>
          <w:trHeight w:val="227"/>
        </w:trPr>
        <w:tc>
          <w:tcPr>
            <w:tcW w:w="2694" w:type="dxa"/>
            <w:tcMar>
              <w:top w:w="30" w:type="dxa"/>
              <w:left w:w="0" w:type="dxa"/>
              <w:bottom w:w="19" w:type="dxa"/>
              <w:right w:w="0" w:type="dxa"/>
            </w:tcMar>
            <w:vAlign w:val="center"/>
          </w:tcPr>
          <w:p w14:paraId="54B660A7"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血小板计数，103/mL</w:t>
            </w:r>
          </w:p>
        </w:tc>
        <w:tc>
          <w:tcPr>
            <w:tcW w:w="1984" w:type="dxa"/>
            <w:tcMar>
              <w:top w:w="30" w:type="dxa"/>
              <w:left w:w="0" w:type="dxa"/>
              <w:bottom w:w="19" w:type="dxa"/>
              <w:right w:w="0" w:type="dxa"/>
            </w:tcMar>
            <w:vAlign w:val="center"/>
          </w:tcPr>
          <w:p w14:paraId="73A6CEAA"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165.5 (122.0–237.0)</w:t>
            </w:r>
          </w:p>
        </w:tc>
        <w:tc>
          <w:tcPr>
            <w:tcW w:w="1985" w:type="dxa"/>
            <w:tcMar>
              <w:top w:w="30" w:type="dxa"/>
              <w:left w:w="0" w:type="dxa"/>
              <w:bottom w:w="19" w:type="dxa"/>
              <w:right w:w="0" w:type="dxa"/>
            </w:tcMar>
            <w:vAlign w:val="center"/>
          </w:tcPr>
          <w:p w14:paraId="61535474"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157.0 (88.0–218)</w:t>
            </w:r>
          </w:p>
        </w:tc>
        <w:tc>
          <w:tcPr>
            <w:tcW w:w="1559" w:type="dxa"/>
            <w:tcMar>
              <w:top w:w="30" w:type="dxa"/>
              <w:left w:w="0" w:type="dxa"/>
              <w:bottom w:w="19" w:type="dxa"/>
              <w:right w:w="0" w:type="dxa"/>
            </w:tcMar>
            <w:vAlign w:val="center"/>
          </w:tcPr>
          <w:p w14:paraId="54DBDA5A" w14:textId="77777777" w:rsidR="009211BE" w:rsidRDefault="00CB32B0">
            <w:pPr>
              <w:widowControl/>
              <w:spacing w:line="360" w:lineRule="auto"/>
              <w:ind w:right="3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0.172</w:t>
            </w:r>
          </w:p>
        </w:tc>
      </w:tr>
      <w:tr w:rsidR="009211BE" w14:paraId="7F33EE46" w14:textId="77777777">
        <w:trPr>
          <w:trHeight w:val="227"/>
        </w:trPr>
        <w:tc>
          <w:tcPr>
            <w:tcW w:w="2694" w:type="dxa"/>
            <w:tcMar>
              <w:top w:w="30" w:type="dxa"/>
              <w:left w:w="0" w:type="dxa"/>
              <w:bottom w:w="19" w:type="dxa"/>
              <w:right w:w="0" w:type="dxa"/>
            </w:tcMar>
            <w:vAlign w:val="center"/>
          </w:tcPr>
          <w:p w14:paraId="77313175"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总胆红素，mg/dL</w:t>
            </w:r>
          </w:p>
        </w:tc>
        <w:tc>
          <w:tcPr>
            <w:tcW w:w="1984" w:type="dxa"/>
            <w:tcMar>
              <w:top w:w="30" w:type="dxa"/>
              <w:left w:w="0" w:type="dxa"/>
              <w:bottom w:w="19" w:type="dxa"/>
              <w:right w:w="0" w:type="dxa"/>
            </w:tcMar>
            <w:vAlign w:val="center"/>
          </w:tcPr>
          <w:p w14:paraId="35435AE1"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 (0.6–1.5)</w:t>
            </w:r>
          </w:p>
        </w:tc>
        <w:tc>
          <w:tcPr>
            <w:tcW w:w="1985" w:type="dxa"/>
            <w:tcMar>
              <w:top w:w="30" w:type="dxa"/>
              <w:left w:w="0" w:type="dxa"/>
              <w:bottom w:w="19" w:type="dxa"/>
              <w:right w:w="0" w:type="dxa"/>
            </w:tcMar>
            <w:vAlign w:val="center"/>
          </w:tcPr>
          <w:p w14:paraId="74022980"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 (0.7–1.8)</w:t>
            </w:r>
          </w:p>
        </w:tc>
        <w:tc>
          <w:tcPr>
            <w:tcW w:w="1559" w:type="dxa"/>
            <w:tcMar>
              <w:top w:w="30" w:type="dxa"/>
              <w:left w:w="0" w:type="dxa"/>
              <w:bottom w:w="19" w:type="dxa"/>
              <w:right w:w="0" w:type="dxa"/>
            </w:tcMar>
            <w:vAlign w:val="center"/>
          </w:tcPr>
          <w:p w14:paraId="11FF0372" w14:textId="77777777" w:rsidR="009211BE" w:rsidRDefault="00CB32B0">
            <w:pPr>
              <w:widowControl/>
              <w:spacing w:line="360" w:lineRule="auto"/>
              <w:ind w:right="3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0.327</w:t>
            </w:r>
          </w:p>
        </w:tc>
      </w:tr>
      <w:tr w:rsidR="009211BE" w14:paraId="1D107987" w14:textId="77777777">
        <w:trPr>
          <w:trHeight w:val="227"/>
        </w:trPr>
        <w:tc>
          <w:tcPr>
            <w:tcW w:w="2694" w:type="dxa"/>
            <w:tcBorders>
              <w:top w:val="nil"/>
              <w:left w:val="nil"/>
              <w:bottom w:val="single" w:sz="8" w:space="0" w:color="000000"/>
              <w:right w:val="nil"/>
            </w:tcBorders>
            <w:tcMar>
              <w:top w:w="30" w:type="dxa"/>
              <w:left w:w="0" w:type="dxa"/>
              <w:bottom w:w="19" w:type="dxa"/>
              <w:right w:w="0" w:type="dxa"/>
            </w:tcMar>
            <w:vAlign w:val="center"/>
          </w:tcPr>
          <w:p w14:paraId="0648E6AC"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肌</w:t>
            </w:r>
            <w:proofErr w:type="gramStart"/>
            <w:r>
              <w:rPr>
                <w:rFonts w:ascii="宋体" w:eastAsia="宋体" w:hAnsi="宋体" w:cs="宋体" w:hint="eastAsia"/>
                <w:color w:val="000000"/>
                <w:kern w:val="0"/>
                <w:sz w:val="24"/>
                <w:szCs w:val="24"/>
              </w:rPr>
              <w:t>酐</w:t>
            </w:r>
            <w:proofErr w:type="gramEnd"/>
            <w:r>
              <w:rPr>
                <w:rFonts w:ascii="宋体" w:eastAsia="宋体" w:hAnsi="宋体" w:cs="宋体" w:hint="eastAsia"/>
                <w:color w:val="000000"/>
                <w:kern w:val="0"/>
                <w:sz w:val="24"/>
                <w:szCs w:val="24"/>
              </w:rPr>
              <w:t>，mg/dL</w:t>
            </w:r>
          </w:p>
        </w:tc>
        <w:tc>
          <w:tcPr>
            <w:tcW w:w="1984" w:type="dxa"/>
            <w:tcBorders>
              <w:top w:val="nil"/>
              <w:left w:val="nil"/>
              <w:bottom w:val="single" w:sz="8" w:space="0" w:color="000000"/>
              <w:right w:val="nil"/>
            </w:tcBorders>
            <w:tcMar>
              <w:top w:w="30" w:type="dxa"/>
              <w:left w:w="0" w:type="dxa"/>
              <w:bottom w:w="19" w:type="dxa"/>
              <w:right w:w="0" w:type="dxa"/>
            </w:tcMar>
            <w:vAlign w:val="center"/>
          </w:tcPr>
          <w:p w14:paraId="35C6160C"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 (0.9–1.5</w:t>
            </w:r>
          </w:p>
        </w:tc>
        <w:tc>
          <w:tcPr>
            <w:tcW w:w="1985" w:type="dxa"/>
            <w:tcBorders>
              <w:top w:val="nil"/>
              <w:left w:val="nil"/>
              <w:bottom w:val="single" w:sz="8" w:space="0" w:color="000000"/>
              <w:right w:val="nil"/>
            </w:tcBorders>
            <w:tcMar>
              <w:top w:w="30" w:type="dxa"/>
              <w:left w:w="0" w:type="dxa"/>
              <w:bottom w:w="19" w:type="dxa"/>
              <w:right w:w="0" w:type="dxa"/>
            </w:tcMar>
            <w:vAlign w:val="center"/>
          </w:tcPr>
          <w:p w14:paraId="0B48A1BB"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 (1.1–2.1)</w:t>
            </w:r>
          </w:p>
        </w:tc>
        <w:tc>
          <w:tcPr>
            <w:tcW w:w="1559" w:type="dxa"/>
            <w:tcBorders>
              <w:top w:val="nil"/>
              <w:left w:val="nil"/>
              <w:bottom w:val="single" w:sz="8" w:space="0" w:color="000000"/>
              <w:right w:val="nil"/>
            </w:tcBorders>
            <w:tcMar>
              <w:top w:w="30" w:type="dxa"/>
              <w:left w:w="0" w:type="dxa"/>
              <w:bottom w:w="19" w:type="dxa"/>
              <w:right w:w="0" w:type="dxa"/>
            </w:tcMar>
            <w:vAlign w:val="center"/>
          </w:tcPr>
          <w:p w14:paraId="7C712E77" w14:textId="77777777" w:rsidR="009211BE" w:rsidRDefault="00CB32B0">
            <w:pPr>
              <w:widowControl/>
              <w:spacing w:line="360" w:lineRule="auto"/>
              <w:ind w:right="3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0.001</w:t>
            </w:r>
          </w:p>
        </w:tc>
      </w:tr>
    </w:tbl>
    <w:p w14:paraId="1C12F1E8" w14:textId="04A54DCE" w:rsidR="009211BE" w:rsidRDefault="00CB32B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慢性肾病定义为肾损</w:t>
      </w:r>
      <w:r w:rsidR="00AE1E5E">
        <w:rPr>
          <w:rFonts w:ascii="宋体" w:eastAsia="宋体" w:hAnsi="宋体" w:cs="宋体" w:hint="eastAsia"/>
          <w:color w:val="000000"/>
          <w:sz w:val="24"/>
          <w:szCs w:val="24"/>
        </w:rPr>
        <w:t>伤</w:t>
      </w:r>
      <w:r>
        <w:rPr>
          <w:rFonts w:ascii="宋体" w:eastAsia="宋体" w:hAnsi="宋体" w:cs="宋体" w:hint="eastAsia"/>
          <w:color w:val="000000"/>
          <w:sz w:val="24"/>
          <w:szCs w:val="24"/>
        </w:rPr>
        <w:t>或肾小球滤过率低于60mL/min/1.73m2，持续3个月或更长时间。</w:t>
      </w:r>
    </w:p>
    <w:p w14:paraId="1DD71E29" w14:textId="77777777" w:rsidR="009211BE" w:rsidRDefault="00CB32B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连续变量使用中位数(Q1-Q3)表示，分类变量使用n(%)表示。</w:t>
      </w:r>
    </w:p>
    <w:p w14:paraId="60ACCC4E" w14:textId="3F684FB2" w:rsidR="009211BE" w:rsidRDefault="00CB32B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BMI=指数；ECMO=</w:t>
      </w:r>
      <w:r w:rsidR="00C3727A">
        <w:rPr>
          <w:rFonts w:ascii="宋体" w:eastAsia="宋体" w:hAnsi="宋体" w:cs="宋体" w:hint="eastAsia"/>
          <w:color w:val="000000"/>
          <w:sz w:val="24"/>
          <w:szCs w:val="24"/>
        </w:rPr>
        <w:t>体外膜氧合</w:t>
      </w:r>
      <w:r>
        <w:rPr>
          <w:rFonts w:ascii="宋体" w:eastAsia="宋体" w:hAnsi="宋体" w:cs="宋体" w:hint="eastAsia"/>
          <w:color w:val="000000"/>
          <w:sz w:val="24"/>
          <w:szCs w:val="24"/>
        </w:rPr>
        <w:t>；ECPR=体外心肺复苏；SAVE=</w:t>
      </w:r>
      <w:r w:rsidR="00F67801">
        <w:rPr>
          <w:rFonts w:ascii="宋体" w:eastAsia="宋体" w:hAnsi="宋体" w:cs="宋体" w:hint="eastAsia"/>
          <w:color w:val="000000"/>
          <w:sz w:val="24"/>
          <w:szCs w:val="24"/>
        </w:rPr>
        <w:t>V</w:t>
      </w:r>
      <w:r w:rsidR="00F67801">
        <w:rPr>
          <w:rFonts w:ascii="宋体" w:eastAsia="宋体" w:hAnsi="宋体" w:cs="宋体"/>
          <w:color w:val="000000"/>
          <w:sz w:val="24"/>
          <w:szCs w:val="24"/>
        </w:rPr>
        <w:t>A</w:t>
      </w:r>
      <w:r w:rsidR="002C39D7">
        <w:rPr>
          <w:rFonts w:ascii="宋体" w:eastAsia="宋体" w:hAnsi="宋体" w:cs="宋体"/>
          <w:color w:val="000000"/>
          <w:sz w:val="24"/>
          <w:szCs w:val="24"/>
        </w:rPr>
        <w:t xml:space="preserve"> </w:t>
      </w:r>
      <w:r w:rsidR="00F67801">
        <w:rPr>
          <w:rFonts w:ascii="宋体" w:eastAsia="宋体" w:hAnsi="宋体" w:cs="宋体"/>
          <w:color w:val="000000"/>
          <w:sz w:val="24"/>
          <w:szCs w:val="24"/>
        </w:rPr>
        <w:t>ECMO</w:t>
      </w:r>
      <w:r w:rsidR="00AE1E5E">
        <w:rPr>
          <w:rFonts w:ascii="宋体" w:eastAsia="宋体" w:hAnsi="宋体" w:cs="宋体" w:hint="eastAsia"/>
          <w:color w:val="000000"/>
          <w:sz w:val="24"/>
          <w:szCs w:val="24"/>
        </w:rPr>
        <w:t>预后</w:t>
      </w:r>
      <w:r w:rsidR="00F67801">
        <w:rPr>
          <w:rFonts w:ascii="宋体" w:eastAsia="宋体" w:hAnsi="宋体" w:cs="宋体" w:hint="eastAsia"/>
          <w:color w:val="000000"/>
          <w:sz w:val="24"/>
          <w:szCs w:val="24"/>
        </w:rPr>
        <w:t>评分</w:t>
      </w:r>
      <w:r>
        <w:rPr>
          <w:rFonts w:ascii="宋体" w:eastAsia="宋体" w:hAnsi="宋体" w:cs="宋体" w:hint="eastAsia"/>
          <w:color w:val="000000"/>
          <w:sz w:val="24"/>
          <w:szCs w:val="24"/>
        </w:rPr>
        <w:t>；SOFA=序贯器官衰竭评分</w:t>
      </w:r>
    </w:p>
    <w:p w14:paraId="6026BC21" w14:textId="77777777" w:rsidR="009211BE" w:rsidRDefault="009211BE">
      <w:pPr>
        <w:spacing w:line="360" w:lineRule="auto"/>
        <w:rPr>
          <w:rFonts w:ascii="宋体" w:eastAsia="宋体" w:hAnsi="宋体" w:cs="宋体"/>
          <w:color w:val="000000"/>
          <w:sz w:val="24"/>
          <w:szCs w:val="24"/>
        </w:rPr>
      </w:pPr>
    </w:p>
    <w:p w14:paraId="490C1820" w14:textId="77777777" w:rsidR="009211BE" w:rsidRDefault="009211BE">
      <w:pPr>
        <w:spacing w:line="360" w:lineRule="auto"/>
        <w:rPr>
          <w:rFonts w:ascii="宋体" w:eastAsia="宋体" w:hAnsi="宋体" w:cs="宋体"/>
          <w:color w:val="000000"/>
          <w:sz w:val="24"/>
          <w:szCs w:val="24"/>
        </w:rPr>
      </w:pPr>
    </w:p>
    <w:p w14:paraId="7006712B" w14:textId="77777777" w:rsidR="009211BE" w:rsidRDefault="00CB32B0">
      <w:pPr>
        <w:spacing w:line="360" w:lineRule="auto"/>
        <w:rPr>
          <w:rFonts w:ascii="宋体" w:eastAsia="宋体" w:hAnsi="宋体" w:cs="宋体"/>
          <w:b/>
          <w:bCs/>
          <w:color w:val="000000"/>
          <w:sz w:val="24"/>
          <w:szCs w:val="24"/>
        </w:rPr>
      </w:pPr>
      <w:r>
        <w:rPr>
          <w:rFonts w:ascii="宋体" w:eastAsia="宋体" w:hAnsi="宋体" w:cs="宋体" w:hint="eastAsia"/>
          <w:b/>
          <w:bCs/>
          <w:color w:val="000000"/>
          <w:sz w:val="24"/>
          <w:szCs w:val="24"/>
        </w:rPr>
        <w:t>表2.心脏骤停和复苏步骤的特点</w:t>
      </w:r>
    </w:p>
    <w:tbl>
      <w:tblPr>
        <w:tblW w:w="8364" w:type="dxa"/>
        <w:tblLayout w:type="fixed"/>
        <w:tblCellMar>
          <w:left w:w="0" w:type="dxa"/>
          <w:right w:w="0" w:type="dxa"/>
        </w:tblCellMar>
        <w:tblLook w:val="04A0" w:firstRow="1" w:lastRow="0" w:firstColumn="1" w:lastColumn="0" w:noHBand="0" w:noVBand="1"/>
      </w:tblPr>
      <w:tblGrid>
        <w:gridCol w:w="2694"/>
        <w:gridCol w:w="2409"/>
        <w:gridCol w:w="2268"/>
        <w:gridCol w:w="993"/>
      </w:tblGrid>
      <w:tr w:rsidR="009211BE" w14:paraId="1F97C49D" w14:textId="77777777">
        <w:trPr>
          <w:trHeight w:val="525"/>
        </w:trPr>
        <w:tc>
          <w:tcPr>
            <w:tcW w:w="2694" w:type="dxa"/>
            <w:tcBorders>
              <w:top w:val="single" w:sz="8" w:space="0" w:color="000000"/>
              <w:left w:val="nil"/>
              <w:bottom w:val="single" w:sz="8" w:space="0" w:color="000000"/>
              <w:right w:val="nil"/>
            </w:tcBorders>
            <w:tcMar>
              <w:top w:w="35" w:type="dxa"/>
              <w:left w:w="0" w:type="dxa"/>
              <w:bottom w:w="32" w:type="dxa"/>
              <w:right w:w="0" w:type="dxa"/>
            </w:tcMar>
            <w:vAlign w:val="center"/>
          </w:tcPr>
          <w:p w14:paraId="42306DE4" w14:textId="77777777" w:rsidR="009211BE" w:rsidRDefault="00CB32B0">
            <w:pPr>
              <w:spacing w:line="360" w:lineRule="auto"/>
              <w:jc w:val="left"/>
              <w:rPr>
                <w:rFonts w:ascii="宋体" w:eastAsia="宋体" w:hAnsi="宋体" w:cs="宋体"/>
                <w:sz w:val="24"/>
                <w:szCs w:val="24"/>
              </w:rPr>
            </w:pPr>
            <w:r>
              <w:rPr>
                <w:rFonts w:ascii="宋体" w:eastAsia="宋体" w:hAnsi="宋体" w:cs="宋体" w:hint="eastAsia"/>
                <w:color w:val="000000"/>
                <w:kern w:val="0"/>
                <w:sz w:val="24"/>
                <w:szCs w:val="24"/>
              </w:rPr>
              <w:t>特征指标</w:t>
            </w:r>
          </w:p>
        </w:tc>
        <w:tc>
          <w:tcPr>
            <w:tcW w:w="2409" w:type="dxa"/>
            <w:tcBorders>
              <w:top w:val="single" w:sz="8" w:space="0" w:color="000000"/>
              <w:left w:val="nil"/>
              <w:bottom w:val="single" w:sz="8" w:space="0" w:color="000000"/>
              <w:right w:val="nil"/>
            </w:tcBorders>
            <w:tcMar>
              <w:top w:w="35" w:type="dxa"/>
              <w:left w:w="0" w:type="dxa"/>
              <w:bottom w:w="32" w:type="dxa"/>
              <w:right w:w="0" w:type="dxa"/>
            </w:tcMar>
            <w:vAlign w:val="center"/>
          </w:tcPr>
          <w:p w14:paraId="56F493A0" w14:textId="77777777" w:rsidR="009211BE" w:rsidRDefault="00CB32B0">
            <w:pPr>
              <w:widowControl/>
              <w:spacing w:line="360" w:lineRule="auto"/>
              <w:ind w:left="847" w:right="468" w:hanging="847"/>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神经功能预后良好</w:t>
            </w:r>
          </w:p>
          <w:p w14:paraId="7FD04C1E" w14:textId="77777777" w:rsidR="009211BE" w:rsidRDefault="00CB32B0">
            <w:pPr>
              <w:spacing w:line="360" w:lineRule="auto"/>
              <w:ind w:left="847" w:right="270" w:hanging="847"/>
              <w:jc w:val="center"/>
              <w:rPr>
                <w:rFonts w:ascii="宋体" w:eastAsia="宋体" w:hAnsi="宋体" w:cs="宋体"/>
                <w:sz w:val="24"/>
                <w:szCs w:val="24"/>
              </w:rPr>
            </w:pPr>
            <w:r>
              <w:rPr>
                <w:rFonts w:ascii="宋体" w:eastAsia="宋体" w:hAnsi="宋体" w:cs="宋体" w:hint="eastAsia"/>
                <w:color w:val="000000"/>
                <w:kern w:val="0"/>
                <w:sz w:val="24"/>
                <w:szCs w:val="24"/>
              </w:rPr>
              <w:t>（n=78)</w:t>
            </w:r>
          </w:p>
        </w:tc>
        <w:tc>
          <w:tcPr>
            <w:tcW w:w="2268" w:type="dxa"/>
            <w:tcBorders>
              <w:top w:val="single" w:sz="8" w:space="0" w:color="000000"/>
              <w:left w:val="nil"/>
              <w:bottom w:val="single" w:sz="8" w:space="0" w:color="000000"/>
              <w:right w:val="nil"/>
            </w:tcBorders>
            <w:tcMar>
              <w:top w:w="35" w:type="dxa"/>
              <w:left w:w="0" w:type="dxa"/>
              <w:bottom w:w="32" w:type="dxa"/>
              <w:right w:w="0" w:type="dxa"/>
            </w:tcMar>
            <w:vAlign w:val="center"/>
          </w:tcPr>
          <w:p w14:paraId="750529C9" w14:textId="77777777" w:rsidR="009211BE" w:rsidRDefault="00CB32B0">
            <w:pPr>
              <w:widowControl/>
              <w:spacing w:line="360" w:lineRule="auto"/>
              <w:ind w:right="468"/>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神经功能预后不良</w:t>
            </w:r>
          </w:p>
          <w:p w14:paraId="6220ECD8" w14:textId="77777777" w:rsidR="009211BE" w:rsidRDefault="00CB32B0">
            <w:pPr>
              <w:spacing w:line="360" w:lineRule="auto"/>
              <w:ind w:left="621" w:right="270" w:hanging="621"/>
              <w:jc w:val="center"/>
              <w:rPr>
                <w:rFonts w:ascii="宋体" w:eastAsia="宋体" w:hAnsi="宋体" w:cs="宋体"/>
                <w:sz w:val="24"/>
                <w:szCs w:val="24"/>
              </w:rPr>
            </w:pPr>
            <w:r>
              <w:rPr>
                <w:rFonts w:ascii="宋体" w:eastAsia="宋体" w:hAnsi="宋体" w:cs="宋体" w:hint="eastAsia"/>
                <w:color w:val="000000"/>
                <w:kern w:val="0"/>
                <w:sz w:val="24"/>
                <w:szCs w:val="24"/>
              </w:rPr>
              <w:t>（n=196)</w:t>
            </w:r>
          </w:p>
        </w:tc>
        <w:tc>
          <w:tcPr>
            <w:tcW w:w="993" w:type="dxa"/>
            <w:tcBorders>
              <w:top w:val="single" w:sz="8" w:space="0" w:color="000000"/>
              <w:left w:val="nil"/>
              <w:bottom w:val="single" w:sz="8" w:space="0" w:color="000000"/>
              <w:right w:val="nil"/>
            </w:tcBorders>
            <w:tcMar>
              <w:top w:w="35" w:type="dxa"/>
              <w:left w:w="0" w:type="dxa"/>
              <w:bottom w:w="32" w:type="dxa"/>
              <w:right w:w="0" w:type="dxa"/>
            </w:tcMar>
            <w:vAlign w:val="center"/>
          </w:tcPr>
          <w:p w14:paraId="242AF8CE" w14:textId="77777777" w:rsidR="009211BE" w:rsidRDefault="00CB32B0">
            <w:pPr>
              <w:spacing w:line="360" w:lineRule="auto"/>
              <w:jc w:val="center"/>
              <w:rPr>
                <w:rFonts w:ascii="宋体" w:eastAsia="宋体" w:hAnsi="宋体" w:cs="宋体"/>
                <w:sz w:val="24"/>
                <w:szCs w:val="24"/>
              </w:rPr>
            </w:pPr>
            <w:r>
              <w:rPr>
                <w:rFonts w:ascii="宋体" w:eastAsia="宋体" w:hAnsi="宋体" w:cs="宋体" w:hint="eastAsia"/>
                <w:color w:val="000000"/>
                <w:kern w:val="0"/>
                <w:sz w:val="24"/>
                <w:szCs w:val="24"/>
              </w:rPr>
              <w:t>p值</w:t>
            </w:r>
          </w:p>
        </w:tc>
      </w:tr>
      <w:tr w:rsidR="009211BE" w14:paraId="546FFD19" w14:textId="77777777">
        <w:trPr>
          <w:trHeight w:val="227"/>
        </w:trPr>
        <w:tc>
          <w:tcPr>
            <w:tcW w:w="2694" w:type="dxa"/>
            <w:tcBorders>
              <w:top w:val="nil"/>
              <w:left w:val="nil"/>
              <w:bottom w:val="nil"/>
              <w:right w:val="nil"/>
            </w:tcBorders>
            <w:tcMar>
              <w:top w:w="35" w:type="dxa"/>
              <w:left w:w="0" w:type="dxa"/>
              <w:bottom w:w="32" w:type="dxa"/>
              <w:right w:w="0" w:type="dxa"/>
            </w:tcMar>
          </w:tcPr>
          <w:p w14:paraId="1C5E8358"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心脏骤停类型</w:t>
            </w:r>
          </w:p>
        </w:tc>
        <w:tc>
          <w:tcPr>
            <w:tcW w:w="2409" w:type="dxa"/>
            <w:tcBorders>
              <w:top w:val="nil"/>
              <w:left w:val="nil"/>
              <w:bottom w:val="nil"/>
              <w:right w:val="nil"/>
            </w:tcBorders>
            <w:tcMar>
              <w:top w:w="35" w:type="dxa"/>
              <w:left w:w="0" w:type="dxa"/>
              <w:bottom w:w="32" w:type="dxa"/>
              <w:right w:w="0" w:type="dxa"/>
            </w:tcMar>
            <w:vAlign w:val="center"/>
          </w:tcPr>
          <w:p w14:paraId="70E1854E" w14:textId="77777777" w:rsidR="009211BE" w:rsidRDefault="009211BE">
            <w:pPr>
              <w:widowControl/>
              <w:spacing w:line="360" w:lineRule="auto"/>
              <w:ind w:left="160" w:firstLineChars="100" w:firstLine="240"/>
              <w:jc w:val="center"/>
              <w:rPr>
                <w:rFonts w:ascii="宋体" w:eastAsia="宋体" w:hAnsi="宋体" w:cs="宋体"/>
                <w:color w:val="000000"/>
                <w:kern w:val="0"/>
                <w:sz w:val="24"/>
                <w:szCs w:val="24"/>
              </w:rPr>
            </w:pPr>
          </w:p>
        </w:tc>
        <w:tc>
          <w:tcPr>
            <w:tcW w:w="2268" w:type="dxa"/>
            <w:tcBorders>
              <w:top w:val="nil"/>
              <w:left w:val="nil"/>
              <w:bottom w:val="nil"/>
              <w:right w:val="nil"/>
            </w:tcBorders>
            <w:tcMar>
              <w:top w:w="35" w:type="dxa"/>
              <w:left w:w="0" w:type="dxa"/>
              <w:bottom w:w="32" w:type="dxa"/>
              <w:right w:w="0" w:type="dxa"/>
            </w:tcMar>
            <w:vAlign w:val="center"/>
          </w:tcPr>
          <w:p w14:paraId="16C40656" w14:textId="77777777" w:rsidR="009211BE" w:rsidRDefault="009211BE">
            <w:pPr>
              <w:widowControl/>
              <w:spacing w:line="360" w:lineRule="auto"/>
              <w:ind w:left="160" w:firstLineChars="100" w:firstLine="240"/>
              <w:jc w:val="center"/>
              <w:rPr>
                <w:rFonts w:ascii="宋体" w:eastAsia="宋体" w:hAnsi="宋体" w:cs="宋体"/>
                <w:color w:val="000000"/>
                <w:kern w:val="0"/>
                <w:sz w:val="24"/>
                <w:szCs w:val="24"/>
              </w:rPr>
            </w:pPr>
          </w:p>
        </w:tc>
        <w:tc>
          <w:tcPr>
            <w:tcW w:w="993" w:type="dxa"/>
            <w:tcBorders>
              <w:top w:val="nil"/>
              <w:left w:val="nil"/>
              <w:bottom w:val="nil"/>
              <w:right w:val="nil"/>
            </w:tcBorders>
            <w:tcMar>
              <w:top w:w="35" w:type="dxa"/>
              <w:left w:w="0" w:type="dxa"/>
              <w:bottom w:w="32" w:type="dxa"/>
              <w:right w:w="0" w:type="dxa"/>
            </w:tcMar>
            <w:vAlign w:val="center"/>
          </w:tcPr>
          <w:p w14:paraId="7933D499"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0.386</w:t>
            </w:r>
          </w:p>
        </w:tc>
      </w:tr>
      <w:tr w:rsidR="009211BE" w14:paraId="5FBF8DB2" w14:textId="77777777">
        <w:trPr>
          <w:trHeight w:val="227"/>
        </w:trPr>
        <w:tc>
          <w:tcPr>
            <w:tcW w:w="2694" w:type="dxa"/>
            <w:tcMar>
              <w:top w:w="35" w:type="dxa"/>
              <w:left w:w="0" w:type="dxa"/>
              <w:bottom w:w="32" w:type="dxa"/>
              <w:right w:w="0" w:type="dxa"/>
            </w:tcMar>
          </w:tcPr>
          <w:p w14:paraId="674D8A50"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院外心脏骤停</w:t>
            </w:r>
          </w:p>
        </w:tc>
        <w:tc>
          <w:tcPr>
            <w:tcW w:w="2409" w:type="dxa"/>
            <w:tcMar>
              <w:top w:w="35" w:type="dxa"/>
              <w:left w:w="0" w:type="dxa"/>
              <w:bottom w:w="32" w:type="dxa"/>
              <w:right w:w="0" w:type="dxa"/>
            </w:tcMar>
            <w:vAlign w:val="center"/>
          </w:tcPr>
          <w:p w14:paraId="24BFFDEC"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 (6.4)</w:t>
            </w:r>
          </w:p>
        </w:tc>
        <w:tc>
          <w:tcPr>
            <w:tcW w:w="2268" w:type="dxa"/>
            <w:tcMar>
              <w:top w:w="35" w:type="dxa"/>
              <w:left w:w="0" w:type="dxa"/>
              <w:bottom w:w="32" w:type="dxa"/>
              <w:right w:w="0" w:type="dxa"/>
            </w:tcMar>
            <w:vAlign w:val="center"/>
          </w:tcPr>
          <w:p w14:paraId="747D1EEC"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 (9.7)</w:t>
            </w:r>
          </w:p>
        </w:tc>
        <w:tc>
          <w:tcPr>
            <w:tcW w:w="993" w:type="dxa"/>
            <w:tcMar>
              <w:top w:w="35" w:type="dxa"/>
              <w:left w:w="0" w:type="dxa"/>
              <w:bottom w:w="32" w:type="dxa"/>
              <w:right w:w="0" w:type="dxa"/>
            </w:tcMar>
            <w:vAlign w:val="center"/>
          </w:tcPr>
          <w:p w14:paraId="7F183BEA" w14:textId="77777777" w:rsidR="009211BE" w:rsidRDefault="009211BE">
            <w:pPr>
              <w:widowControl/>
              <w:spacing w:line="360" w:lineRule="auto"/>
              <w:jc w:val="center"/>
              <w:rPr>
                <w:rFonts w:ascii="宋体" w:eastAsia="宋体" w:hAnsi="宋体" w:cs="宋体"/>
                <w:color w:val="000000"/>
                <w:kern w:val="0"/>
                <w:sz w:val="24"/>
                <w:szCs w:val="24"/>
              </w:rPr>
            </w:pPr>
          </w:p>
        </w:tc>
      </w:tr>
      <w:tr w:rsidR="009211BE" w14:paraId="6D093186" w14:textId="77777777">
        <w:trPr>
          <w:trHeight w:val="227"/>
        </w:trPr>
        <w:tc>
          <w:tcPr>
            <w:tcW w:w="2694" w:type="dxa"/>
            <w:tcMar>
              <w:top w:w="35" w:type="dxa"/>
              <w:left w:w="0" w:type="dxa"/>
              <w:bottom w:w="32" w:type="dxa"/>
              <w:right w:w="0" w:type="dxa"/>
            </w:tcMar>
          </w:tcPr>
          <w:p w14:paraId="52ABD216"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院内心脏骤停</w:t>
            </w:r>
          </w:p>
        </w:tc>
        <w:tc>
          <w:tcPr>
            <w:tcW w:w="2409" w:type="dxa"/>
            <w:tcMar>
              <w:top w:w="35" w:type="dxa"/>
              <w:left w:w="0" w:type="dxa"/>
              <w:bottom w:w="32" w:type="dxa"/>
              <w:right w:w="0" w:type="dxa"/>
            </w:tcMar>
            <w:vAlign w:val="center"/>
          </w:tcPr>
          <w:p w14:paraId="24A76977"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73 (93.6)</w:t>
            </w:r>
          </w:p>
        </w:tc>
        <w:tc>
          <w:tcPr>
            <w:tcW w:w="2268" w:type="dxa"/>
            <w:tcMar>
              <w:top w:w="35" w:type="dxa"/>
              <w:left w:w="0" w:type="dxa"/>
              <w:bottom w:w="32" w:type="dxa"/>
              <w:right w:w="0" w:type="dxa"/>
            </w:tcMar>
            <w:vAlign w:val="center"/>
          </w:tcPr>
          <w:p w14:paraId="4585BB0B"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177 (90.3)</w:t>
            </w:r>
          </w:p>
        </w:tc>
        <w:tc>
          <w:tcPr>
            <w:tcW w:w="993" w:type="dxa"/>
            <w:tcMar>
              <w:top w:w="35" w:type="dxa"/>
              <w:left w:w="0" w:type="dxa"/>
              <w:bottom w:w="32" w:type="dxa"/>
              <w:right w:w="0" w:type="dxa"/>
            </w:tcMar>
            <w:vAlign w:val="center"/>
          </w:tcPr>
          <w:p w14:paraId="36657368" w14:textId="77777777" w:rsidR="009211BE" w:rsidRDefault="009211BE">
            <w:pPr>
              <w:widowControl/>
              <w:spacing w:line="360" w:lineRule="auto"/>
              <w:jc w:val="center"/>
              <w:rPr>
                <w:rFonts w:ascii="宋体" w:eastAsia="宋体" w:hAnsi="宋体" w:cs="宋体"/>
                <w:color w:val="000000"/>
                <w:kern w:val="0"/>
                <w:sz w:val="24"/>
                <w:szCs w:val="24"/>
              </w:rPr>
            </w:pPr>
          </w:p>
        </w:tc>
      </w:tr>
      <w:tr w:rsidR="009211BE" w14:paraId="5D8124F8" w14:textId="77777777">
        <w:trPr>
          <w:trHeight w:val="227"/>
        </w:trPr>
        <w:tc>
          <w:tcPr>
            <w:tcW w:w="2694" w:type="dxa"/>
            <w:tcMar>
              <w:top w:w="35" w:type="dxa"/>
              <w:left w:w="0" w:type="dxa"/>
              <w:bottom w:w="32" w:type="dxa"/>
              <w:right w:w="0" w:type="dxa"/>
            </w:tcMar>
          </w:tcPr>
          <w:p w14:paraId="14BDCC3B"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旁观者目睹心脏骤停</w:t>
            </w:r>
          </w:p>
        </w:tc>
        <w:tc>
          <w:tcPr>
            <w:tcW w:w="2409" w:type="dxa"/>
            <w:tcMar>
              <w:top w:w="35" w:type="dxa"/>
              <w:left w:w="0" w:type="dxa"/>
              <w:bottom w:w="32" w:type="dxa"/>
              <w:right w:w="0" w:type="dxa"/>
            </w:tcMar>
            <w:vAlign w:val="center"/>
          </w:tcPr>
          <w:p w14:paraId="5050B24C"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78 (100.0)</w:t>
            </w:r>
          </w:p>
        </w:tc>
        <w:tc>
          <w:tcPr>
            <w:tcW w:w="2268" w:type="dxa"/>
            <w:tcMar>
              <w:top w:w="35" w:type="dxa"/>
              <w:left w:w="0" w:type="dxa"/>
              <w:bottom w:w="32" w:type="dxa"/>
              <w:right w:w="0" w:type="dxa"/>
            </w:tcMar>
            <w:vAlign w:val="center"/>
          </w:tcPr>
          <w:p w14:paraId="42D4F6A9"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194 (99.0)</w:t>
            </w:r>
          </w:p>
        </w:tc>
        <w:tc>
          <w:tcPr>
            <w:tcW w:w="993" w:type="dxa"/>
            <w:tcMar>
              <w:top w:w="35" w:type="dxa"/>
              <w:left w:w="0" w:type="dxa"/>
              <w:bottom w:w="32" w:type="dxa"/>
              <w:right w:w="0" w:type="dxa"/>
            </w:tcMar>
            <w:vAlign w:val="center"/>
          </w:tcPr>
          <w:p w14:paraId="7F077E31"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0.999</w:t>
            </w:r>
          </w:p>
        </w:tc>
      </w:tr>
      <w:tr w:rsidR="009211BE" w14:paraId="32C1C63C" w14:textId="77777777">
        <w:trPr>
          <w:trHeight w:val="227"/>
        </w:trPr>
        <w:tc>
          <w:tcPr>
            <w:tcW w:w="2694" w:type="dxa"/>
            <w:tcMar>
              <w:top w:w="35" w:type="dxa"/>
              <w:left w:w="0" w:type="dxa"/>
              <w:bottom w:w="32" w:type="dxa"/>
              <w:right w:w="0" w:type="dxa"/>
            </w:tcMar>
          </w:tcPr>
          <w:p w14:paraId="3E743202"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旁观者做了心肺复苏术</w:t>
            </w:r>
          </w:p>
        </w:tc>
        <w:tc>
          <w:tcPr>
            <w:tcW w:w="2409" w:type="dxa"/>
            <w:tcMar>
              <w:top w:w="35" w:type="dxa"/>
              <w:left w:w="0" w:type="dxa"/>
              <w:bottom w:w="32" w:type="dxa"/>
              <w:right w:w="0" w:type="dxa"/>
            </w:tcMar>
            <w:vAlign w:val="center"/>
          </w:tcPr>
          <w:p w14:paraId="0AAF507F"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77 (98.7)</w:t>
            </w:r>
          </w:p>
        </w:tc>
        <w:tc>
          <w:tcPr>
            <w:tcW w:w="2268" w:type="dxa"/>
            <w:tcMar>
              <w:top w:w="35" w:type="dxa"/>
              <w:left w:w="0" w:type="dxa"/>
              <w:bottom w:w="32" w:type="dxa"/>
              <w:right w:w="0" w:type="dxa"/>
            </w:tcMar>
            <w:vAlign w:val="center"/>
          </w:tcPr>
          <w:p w14:paraId="02AFBC7B"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189 (96.4)</w:t>
            </w:r>
          </w:p>
        </w:tc>
        <w:tc>
          <w:tcPr>
            <w:tcW w:w="993" w:type="dxa"/>
            <w:tcMar>
              <w:top w:w="35" w:type="dxa"/>
              <w:left w:w="0" w:type="dxa"/>
              <w:bottom w:w="32" w:type="dxa"/>
              <w:right w:w="0" w:type="dxa"/>
            </w:tcMar>
            <w:vAlign w:val="center"/>
          </w:tcPr>
          <w:p w14:paraId="2ADE71D5"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0.447</w:t>
            </w:r>
          </w:p>
        </w:tc>
      </w:tr>
      <w:tr w:rsidR="009211BE" w14:paraId="7E352819" w14:textId="77777777">
        <w:trPr>
          <w:trHeight w:val="227"/>
        </w:trPr>
        <w:tc>
          <w:tcPr>
            <w:tcW w:w="2694" w:type="dxa"/>
            <w:tcMar>
              <w:top w:w="35" w:type="dxa"/>
              <w:left w:w="0" w:type="dxa"/>
              <w:bottom w:w="32" w:type="dxa"/>
              <w:right w:w="0" w:type="dxa"/>
            </w:tcMar>
          </w:tcPr>
          <w:p w14:paraId="4EDEABB6"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首次监测的心律</w:t>
            </w:r>
          </w:p>
        </w:tc>
        <w:tc>
          <w:tcPr>
            <w:tcW w:w="2409" w:type="dxa"/>
            <w:tcMar>
              <w:top w:w="35" w:type="dxa"/>
              <w:left w:w="0" w:type="dxa"/>
              <w:bottom w:w="32" w:type="dxa"/>
              <w:right w:w="0" w:type="dxa"/>
            </w:tcMar>
            <w:vAlign w:val="center"/>
          </w:tcPr>
          <w:p w14:paraId="4F6E3CA2" w14:textId="77777777" w:rsidR="009211BE" w:rsidRDefault="009211BE">
            <w:pPr>
              <w:widowControl/>
              <w:spacing w:line="360" w:lineRule="auto"/>
              <w:ind w:left="160" w:firstLineChars="100" w:firstLine="240"/>
              <w:jc w:val="center"/>
              <w:rPr>
                <w:rFonts w:ascii="宋体" w:eastAsia="宋体" w:hAnsi="宋体" w:cs="宋体"/>
                <w:color w:val="000000"/>
                <w:kern w:val="0"/>
                <w:sz w:val="24"/>
                <w:szCs w:val="24"/>
              </w:rPr>
            </w:pPr>
          </w:p>
        </w:tc>
        <w:tc>
          <w:tcPr>
            <w:tcW w:w="2268" w:type="dxa"/>
            <w:tcMar>
              <w:top w:w="35" w:type="dxa"/>
              <w:left w:w="0" w:type="dxa"/>
              <w:bottom w:w="32" w:type="dxa"/>
              <w:right w:w="0" w:type="dxa"/>
            </w:tcMar>
            <w:vAlign w:val="center"/>
          </w:tcPr>
          <w:p w14:paraId="5318F2AF" w14:textId="77777777" w:rsidR="009211BE" w:rsidRDefault="009211BE">
            <w:pPr>
              <w:widowControl/>
              <w:spacing w:line="360" w:lineRule="auto"/>
              <w:ind w:left="160" w:firstLineChars="100" w:firstLine="240"/>
              <w:jc w:val="center"/>
              <w:rPr>
                <w:rFonts w:ascii="宋体" w:eastAsia="宋体" w:hAnsi="宋体" w:cs="宋体"/>
                <w:color w:val="000000"/>
                <w:kern w:val="0"/>
                <w:sz w:val="24"/>
                <w:szCs w:val="24"/>
              </w:rPr>
            </w:pPr>
          </w:p>
        </w:tc>
        <w:tc>
          <w:tcPr>
            <w:tcW w:w="993" w:type="dxa"/>
            <w:tcMar>
              <w:top w:w="35" w:type="dxa"/>
              <w:left w:w="0" w:type="dxa"/>
              <w:bottom w:w="32" w:type="dxa"/>
              <w:right w:w="0" w:type="dxa"/>
            </w:tcMar>
            <w:vAlign w:val="center"/>
          </w:tcPr>
          <w:p w14:paraId="7F23099F"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0.001</w:t>
            </w:r>
          </w:p>
        </w:tc>
      </w:tr>
      <w:tr w:rsidR="009211BE" w14:paraId="0C59686C" w14:textId="77777777">
        <w:trPr>
          <w:trHeight w:val="227"/>
        </w:trPr>
        <w:tc>
          <w:tcPr>
            <w:tcW w:w="2694" w:type="dxa"/>
            <w:tcMar>
              <w:top w:w="35" w:type="dxa"/>
              <w:left w:w="0" w:type="dxa"/>
              <w:bottom w:w="32" w:type="dxa"/>
              <w:right w:w="0" w:type="dxa"/>
            </w:tcMar>
          </w:tcPr>
          <w:p w14:paraId="5850335A"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心脏骤停</w:t>
            </w:r>
          </w:p>
        </w:tc>
        <w:tc>
          <w:tcPr>
            <w:tcW w:w="2409" w:type="dxa"/>
            <w:tcMar>
              <w:top w:w="35" w:type="dxa"/>
              <w:left w:w="0" w:type="dxa"/>
              <w:bottom w:w="32" w:type="dxa"/>
              <w:right w:w="0" w:type="dxa"/>
            </w:tcMar>
            <w:vAlign w:val="center"/>
          </w:tcPr>
          <w:p w14:paraId="17CEEFAB"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 (6.4)</w:t>
            </w:r>
          </w:p>
        </w:tc>
        <w:tc>
          <w:tcPr>
            <w:tcW w:w="2268" w:type="dxa"/>
            <w:tcMar>
              <w:top w:w="35" w:type="dxa"/>
              <w:left w:w="0" w:type="dxa"/>
              <w:bottom w:w="32" w:type="dxa"/>
              <w:right w:w="0" w:type="dxa"/>
            </w:tcMar>
            <w:vAlign w:val="center"/>
          </w:tcPr>
          <w:p w14:paraId="78CD4324"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47 (24.0)</w:t>
            </w:r>
          </w:p>
        </w:tc>
        <w:tc>
          <w:tcPr>
            <w:tcW w:w="993" w:type="dxa"/>
            <w:tcMar>
              <w:top w:w="35" w:type="dxa"/>
              <w:left w:w="0" w:type="dxa"/>
              <w:bottom w:w="32" w:type="dxa"/>
              <w:right w:w="0" w:type="dxa"/>
            </w:tcMar>
            <w:vAlign w:val="center"/>
          </w:tcPr>
          <w:p w14:paraId="7595BBFA" w14:textId="77777777" w:rsidR="009211BE" w:rsidRDefault="009211BE">
            <w:pPr>
              <w:widowControl/>
              <w:spacing w:line="360" w:lineRule="auto"/>
              <w:jc w:val="center"/>
              <w:rPr>
                <w:rFonts w:ascii="宋体" w:eastAsia="宋体" w:hAnsi="宋体" w:cs="宋体"/>
                <w:color w:val="000000"/>
                <w:kern w:val="0"/>
                <w:sz w:val="24"/>
                <w:szCs w:val="24"/>
              </w:rPr>
            </w:pPr>
          </w:p>
        </w:tc>
      </w:tr>
      <w:tr w:rsidR="009211BE" w14:paraId="648904EF" w14:textId="77777777">
        <w:trPr>
          <w:trHeight w:val="227"/>
        </w:trPr>
        <w:tc>
          <w:tcPr>
            <w:tcW w:w="2694" w:type="dxa"/>
            <w:tcMar>
              <w:top w:w="35" w:type="dxa"/>
              <w:left w:w="0" w:type="dxa"/>
              <w:bottom w:w="32" w:type="dxa"/>
              <w:right w:w="0" w:type="dxa"/>
            </w:tcMar>
          </w:tcPr>
          <w:p w14:paraId="5D07C1C9"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无脉电活动</w:t>
            </w:r>
          </w:p>
        </w:tc>
        <w:tc>
          <w:tcPr>
            <w:tcW w:w="2409" w:type="dxa"/>
            <w:tcMar>
              <w:top w:w="35" w:type="dxa"/>
              <w:left w:w="0" w:type="dxa"/>
              <w:bottom w:w="32" w:type="dxa"/>
              <w:right w:w="0" w:type="dxa"/>
            </w:tcMar>
            <w:vAlign w:val="center"/>
          </w:tcPr>
          <w:p w14:paraId="0DA231F6"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42 (53.8)</w:t>
            </w:r>
          </w:p>
        </w:tc>
        <w:tc>
          <w:tcPr>
            <w:tcW w:w="2268" w:type="dxa"/>
            <w:tcMar>
              <w:top w:w="35" w:type="dxa"/>
              <w:left w:w="0" w:type="dxa"/>
              <w:bottom w:w="32" w:type="dxa"/>
              <w:right w:w="0" w:type="dxa"/>
            </w:tcMar>
            <w:vAlign w:val="center"/>
          </w:tcPr>
          <w:p w14:paraId="22635A19"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101 (51.5)</w:t>
            </w:r>
          </w:p>
        </w:tc>
        <w:tc>
          <w:tcPr>
            <w:tcW w:w="993" w:type="dxa"/>
            <w:tcMar>
              <w:top w:w="35" w:type="dxa"/>
              <w:left w:w="0" w:type="dxa"/>
              <w:bottom w:w="32" w:type="dxa"/>
              <w:right w:w="0" w:type="dxa"/>
            </w:tcMar>
            <w:vAlign w:val="center"/>
          </w:tcPr>
          <w:p w14:paraId="58843F9B" w14:textId="77777777" w:rsidR="009211BE" w:rsidRDefault="009211BE">
            <w:pPr>
              <w:widowControl/>
              <w:spacing w:line="360" w:lineRule="auto"/>
              <w:jc w:val="center"/>
              <w:rPr>
                <w:rFonts w:ascii="宋体" w:eastAsia="宋体" w:hAnsi="宋体" w:cs="宋体"/>
                <w:color w:val="000000"/>
                <w:kern w:val="0"/>
                <w:sz w:val="24"/>
                <w:szCs w:val="24"/>
              </w:rPr>
            </w:pPr>
          </w:p>
        </w:tc>
      </w:tr>
      <w:tr w:rsidR="009211BE" w14:paraId="1F432BDD" w14:textId="77777777">
        <w:trPr>
          <w:trHeight w:val="227"/>
        </w:trPr>
        <w:tc>
          <w:tcPr>
            <w:tcW w:w="2694" w:type="dxa"/>
            <w:tcMar>
              <w:top w:w="35" w:type="dxa"/>
              <w:left w:w="0" w:type="dxa"/>
              <w:bottom w:w="32" w:type="dxa"/>
              <w:right w:w="0" w:type="dxa"/>
            </w:tcMar>
          </w:tcPr>
          <w:p w14:paraId="778F26AD"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震颤性心律（VT或VF）</w:t>
            </w:r>
          </w:p>
        </w:tc>
        <w:tc>
          <w:tcPr>
            <w:tcW w:w="2409" w:type="dxa"/>
            <w:tcMar>
              <w:top w:w="35" w:type="dxa"/>
              <w:left w:w="0" w:type="dxa"/>
              <w:bottom w:w="32" w:type="dxa"/>
              <w:right w:w="0" w:type="dxa"/>
            </w:tcMar>
            <w:vAlign w:val="center"/>
          </w:tcPr>
          <w:p w14:paraId="49CBC397"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 (39.7)</w:t>
            </w:r>
          </w:p>
        </w:tc>
        <w:tc>
          <w:tcPr>
            <w:tcW w:w="2268" w:type="dxa"/>
            <w:tcMar>
              <w:top w:w="35" w:type="dxa"/>
              <w:left w:w="0" w:type="dxa"/>
              <w:bottom w:w="32" w:type="dxa"/>
              <w:right w:w="0" w:type="dxa"/>
            </w:tcMar>
            <w:vAlign w:val="center"/>
          </w:tcPr>
          <w:p w14:paraId="291B64BA"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48 (24.5)</w:t>
            </w:r>
          </w:p>
        </w:tc>
        <w:tc>
          <w:tcPr>
            <w:tcW w:w="993" w:type="dxa"/>
            <w:tcMar>
              <w:top w:w="35" w:type="dxa"/>
              <w:left w:w="0" w:type="dxa"/>
              <w:bottom w:w="32" w:type="dxa"/>
              <w:right w:w="0" w:type="dxa"/>
            </w:tcMar>
            <w:vAlign w:val="center"/>
          </w:tcPr>
          <w:p w14:paraId="1AF40A7D" w14:textId="77777777" w:rsidR="009211BE" w:rsidRDefault="009211BE">
            <w:pPr>
              <w:widowControl/>
              <w:spacing w:line="360" w:lineRule="auto"/>
              <w:jc w:val="center"/>
              <w:rPr>
                <w:rFonts w:ascii="宋体" w:eastAsia="宋体" w:hAnsi="宋体" w:cs="宋体"/>
                <w:color w:val="000000"/>
                <w:kern w:val="0"/>
                <w:sz w:val="24"/>
                <w:szCs w:val="24"/>
              </w:rPr>
            </w:pPr>
          </w:p>
        </w:tc>
      </w:tr>
      <w:tr w:rsidR="009211BE" w14:paraId="6A37D9BE" w14:textId="77777777">
        <w:trPr>
          <w:trHeight w:val="227"/>
        </w:trPr>
        <w:tc>
          <w:tcPr>
            <w:tcW w:w="2694" w:type="dxa"/>
            <w:tcMar>
              <w:top w:w="35" w:type="dxa"/>
              <w:left w:w="0" w:type="dxa"/>
              <w:bottom w:w="32" w:type="dxa"/>
              <w:right w:w="0" w:type="dxa"/>
            </w:tcMar>
          </w:tcPr>
          <w:p w14:paraId="6EF67794"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除颤</w:t>
            </w:r>
          </w:p>
        </w:tc>
        <w:tc>
          <w:tcPr>
            <w:tcW w:w="2409" w:type="dxa"/>
            <w:tcMar>
              <w:top w:w="35" w:type="dxa"/>
              <w:left w:w="0" w:type="dxa"/>
              <w:bottom w:w="32" w:type="dxa"/>
              <w:right w:w="0" w:type="dxa"/>
            </w:tcMar>
            <w:vAlign w:val="center"/>
          </w:tcPr>
          <w:p w14:paraId="00564EBF"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44 (56.4)</w:t>
            </w:r>
          </w:p>
        </w:tc>
        <w:tc>
          <w:tcPr>
            <w:tcW w:w="2268" w:type="dxa"/>
            <w:tcMar>
              <w:top w:w="35" w:type="dxa"/>
              <w:left w:w="0" w:type="dxa"/>
              <w:bottom w:w="32" w:type="dxa"/>
              <w:right w:w="0" w:type="dxa"/>
            </w:tcMar>
            <w:vAlign w:val="center"/>
          </w:tcPr>
          <w:p w14:paraId="0A17B11C"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84 (42.9)</w:t>
            </w:r>
          </w:p>
        </w:tc>
        <w:tc>
          <w:tcPr>
            <w:tcW w:w="993" w:type="dxa"/>
            <w:tcMar>
              <w:top w:w="35" w:type="dxa"/>
              <w:left w:w="0" w:type="dxa"/>
              <w:bottom w:w="32" w:type="dxa"/>
              <w:right w:w="0" w:type="dxa"/>
            </w:tcMar>
            <w:vAlign w:val="center"/>
          </w:tcPr>
          <w:p w14:paraId="49F229BB"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0.042</w:t>
            </w:r>
          </w:p>
        </w:tc>
      </w:tr>
      <w:tr w:rsidR="009211BE" w14:paraId="7EA906E0" w14:textId="77777777">
        <w:trPr>
          <w:trHeight w:val="227"/>
        </w:trPr>
        <w:tc>
          <w:tcPr>
            <w:tcW w:w="2694" w:type="dxa"/>
            <w:tcMar>
              <w:top w:w="35" w:type="dxa"/>
              <w:left w:w="0" w:type="dxa"/>
              <w:bottom w:w="32" w:type="dxa"/>
              <w:right w:w="0" w:type="dxa"/>
            </w:tcMar>
          </w:tcPr>
          <w:p w14:paraId="7BA93160" w14:textId="1FC63F46"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CPR到ECMO</w:t>
            </w:r>
            <w:r w:rsidR="006E0680">
              <w:rPr>
                <w:rFonts w:ascii="宋体" w:eastAsia="宋体" w:hAnsi="宋体" w:cs="宋体" w:hint="eastAsia"/>
                <w:color w:val="000000"/>
                <w:kern w:val="0"/>
                <w:sz w:val="24"/>
                <w:szCs w:val="24"/>
              </w:rPr>
              <w:t>启动</w:t>
            </w:r>
            <w:r>
              <w:rPr>
                <w:rFonts w:ascii="宋体" w:eastAsia="宋体" w:hAnsi="宋体" w:cs="宋体" w:hint="eastAsia"/>
                <w:color w:val="000000"/>
                <w:kern w:val="0"/>
                <w:sz w:val="24"/>
                <w:szCs w:val="24"/>
              </w:rPr>
              <w:t>时间，分钟</w:t>
            </w:r>
          </w:p>
        </w:tc>
        <w:tc>
          <w:tcPr>
            <w:tcW w:w="2409" w:type="dxa"/>
            <w:tcMar>
              <w:top w:w="35" w:type="dxa"/>
              <w:left w:w="0" w:type="dxa"/>
              <w:bottom w:w="32" w:type="dxa"/>
              <w:right w:w="0" w:type="dxa"/>
            </w:tcMar>
            <w:vAlign w:val="center"/>
          </w:tcPr>
          <w:p w14:paraId="24D82A89"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19.0 (13.0–35.0)</w:t>
            </w:r>
          </w:p>
        </w:tc>
        <w:tc>
          <w:tcPr>
            <w:tcW w:w="2268" w:type="dxa"/>
            <w:tcMar>
              <w:top w:w="35" w:type="dxa"/>
              <w:left w:w="0" w:type="dxa"/>
              <w:bottom w:w="32" w:type="dxa"/>
              <w:right w:w="0" w:type="dxa"/>
            </w:tcMar>
            <w:vAlign w:val="center"/>
          </w:tcPr>
          <w:p w14:paraId="13E48A96"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37.5 (25.0–57.0)</w:t>
            </w:r>
          </w:p>
        </w:tc>
        <w:tc>
          <w:tcPr>
            <w:tcW w:w="993" w:type="dxa"/>
            <w:tcMar>
              <w:top w:w="35" w:type="dxa"/>
              <w:left w:w="0" w:type="dxa"/>
              <w:bottom w:w="32" w:type="dxa"/>
              <w:right w:w="0" w:type="dxa"/>
            </w:tcMar>
            <w:vAlign w:val="center"/>
          </w:tcPr>
          <w:p w14:paraId="41A5548A"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&lt;0.001</w:t>
            </w:r>
          </w:p>
        </w:tc>
      </w:tr>
      <w:tr w:rsidR="009211BE" w14:paraId="6C53C14A" w14:textId="77777777">
        <w:trPr>
          <w:trHeight w:val="227"/>
        </w:trPr>
        <w:tc>
          <w:tcPr>
            <w:tcW w:w="2694" w:type="dxa"/>
            <w:tcMar>
              <w:top w:w="35" w:type="dxa"/>
              <w:left w:w="0" w:type="dxa"/>
              <w:bottom w:w="32" w:type="dxa"/>
              <w:right w:w="0" w:type="dxa"/>
            </w:tcMar>
          </w:tcPr>
          <w:p w14:paraId="3579A9ED"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ECMO后初始动脉脉压，mm Hg</w:t>
            </w:r>
          </w:p>
        </w:tc>
        <w:tc>
          <w:tcPr>
            <w:tcW w:w="2409" w:type="dxa"/>
            <w:tcMar>
              <w:top w:w="35" w:type="dxa"/>
              <w:left w:w="0" w:type="dxa"/>
              <w:bottom w:w="32" w:type="dxa"/>
              <w:right w:w="0" w:type="dxa"/>
            </w:tcMar>
            <w:vAlign w:val="center"/>
          </w:tcPr>
          <w:p w14:paraId="1778A7F7"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55.0 (37.0–68.0)</w:t>
            </w:r>
          </w:p>
        </w:tc>
        <w:tc>
          <w:tcPr>
            <w:tcW w:w="2268" w:type="dxa"/>
            <w:tcMar>
              <w:top w:w="35" w:type="dxa"/>
              <w:left w:w="0" w:type="dxa"/>
              <w:bottom w:w="32" w:type="dxa"/>
              <w:right w:w="0" w:type="dxa"/>
            </w:tcMar>
            <w:vAlign w:val="center"/>
          </w:tcPr>
          <w:p w14:paraId="0AD0716C"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24.0 (5.0–45.0)</w:t>
            </w:r>
          </w:p>
        </w:tc>
        <w:tc>
          <w:tcPr>
            <w:tcW w:w="993" w:type="dxa"/>
            <w:tcMar>
              <w:top w:w="35" w:type="dxa"/>
              <w:left w:w="0" w:type="dxa"/>
              <w:bottom w:w="32" w:type="dxa"/>
              <w:right w:w="0" w:type="dxa"/>
            </w:tcMar>
            <w:vAlign w:val="center"/>
          </w:tcPr>
          <w:p w14:paraId="799BE2AB"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&lt;0.001</w:t>
            </w:r>
          </w:p>
        </w:tc>
      </w:tr>
      <w:tr w:rsidR="009211BE" w14:paraId="2B910659" w14:textId="77777777">
        <w:trPr>
          <w:trHeight w:val="227"/>
        </w:trPr>
        <w:tc>
          <w:tcPr>
            <w:tcW w:w="2694" w:type="dxa"/>
            <w:tcMar>
              <w:top w:w="35" w:type="dxa"/>
              <w:left w:w="0" w:type="dxa"/>
              <w:bottom w:w="32" w:type="dxa"/>
              <w:right w:w="0" w:type="dxa"/>
            </w:tcMar>
          </w:tcPr>
          <w:p w14:paraId="642B27CC" w14:textId="13763194"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ECMO后初始平均动脉压，mmHg</w:t>
            </w:r>
          </w:p>
        </w:tc>
        <w:tc>
          <w:tcPr>
            <w:tcW w:w="2409" w:type="dxa"/>
            <w:tcMar>
              <w:top w:w="35" w:type="dxa"/>
              <w:left w:w="0" w:type="dxa"/>
              <w:bottom w:w="32" w:type="dxa"/>
              <w:right w:w="0" w:type="dxa"/>
            </w:tcMar>
            <w:vAlign w:val="center"/>
          </w:tcPr>
          <w:p w14:paraId="66A296F2"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87.7 (76.6–100.0)</w:t>
            </w:r>
          </w:p>
        </w:tc>
        <w:tc>
          <w:tcPr>
            <w:tcW w:w="2268" w:type="dxa"/>
            <w:tcMar>
              <w:top w:w="35" w:type="dxa"/>
              <w:left w:w="0" w:type="dxa"/>
              <w:bottom w:w="32" w:type="dxa"/>
              <w:right w:w="0" w:type="dxa"/>
            </w:tcMar>
            <w:vAlign w:val="center"/>
          </w:tcPr>
          <w:p w14:paraId="0685B9F4"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71.6 (43.0–88.5)</w:t>
            </w:r>
          </w:p>
        </w:tc>
        <w:tc>
          <w:tcPr>
            <w:tcW w:w="993" w:type="dxa"/>
            <w:tcMar>
              <w:top w:w="35" w:type="dxa"/>
              <w:left w:w="0" w:type="dxa"/>
              <w:bottom w:w="32" w:type="dxa"/>
              <w:right w:w="0" w:type="dxa"/>
            </w:tcMar>
            <w:vAlign w:val="center"/>
          </w:tcPr>
          <w:p w14:paraId="533B78AA"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&lt;0.001</w:t>
            </w:r>
          </w:p>
        </w:tc>
      </w:tr>
      <w:tr w:rsidR="009211BE" w14:paraId="6DB08F07" w14:textId="77777777">
        <w:trPr>
          <w:trHeight w:val="227"/>
        </w:trPr>
        <w:tc>
          <w:tcPr>
            <w:tcW w:w="2694" w:type="dxa"/>
            <w:tcMar>
              <w:top w:w="35" w:type="dxa"/>
              <w:left w:w="0" w:type="dxa"/>
              <w:bottom w:w="32" w:type="dxa"/>
              <w:right w:w="0" w:type="dxa"/>
            </w:tcMar>
          </w:tcPr>
          <w:p w14:paraId="75AD5015"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停搏原因，缺血性</w:t>
            </w:r>
          </w:p>
        </w:tc>
        <w:tc>
          <w:tcPr>
            <w:tcW w:w="2409" w:type="dxa"/>
            <w:tcMar>
              <w:top w:w="35" w:type="dxa"/>
              <w:left w:w="0" w:type="dxa"/>
              <w:bottom w:w="32" w:type="dxa"/>
              <w:right w:w="0" w:type="dxa"/>
            </w:tcMar>
            <w:vAlign w:val="center"/>
          </w:tcPr>
          <w:p w14:paraId="14E627F9"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39 (50.0)</w:t>
            </w:r>
          </w:p>
        </w:tc>
        <w:tc>
          <w:tcPr>
            <w:tcW w:w="2268" w:type="dxa"/>
            <w:tcMar>
              <w:top w:w="35" w:type="dxa"/>
              <w:left w:w="0" w:type="dxa"/>
              <w:bottom w:w="32" w:type="dxa"/>
              <w:right w:w="0" w:type="dxa"/>
            </w:tcMar>
            <w:vAlign w:val="center"/>
          </w:tcPr>
          <w:p w14:paraId="5C983620"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75 (38.3)</w:t>
            </w:r>
          </w:p>
        </w:tc>
        <w:tc>
          <w:tcPr>
            <w:tcW w:w="993" w:type="dxa"/>
            <w:tcMar>
              <w:top w:w="35" w:type="dxa"/>
              <w:left w:w="0" w:type="dxa"/>
              <w:bottom w:w="32" w:type="dxa"/>
              <w:right w:w="0" w:type="dxa"/>
            </w:tcMar>
            <w:vAlign w:val="center"/>
          </w:tcPr>
          <w:p w14:paraId="56614C14"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0.044</w:t>
            </w:r>
          </w:p>
        </w:tc>
      </w:tr>
      <w:tr w:rsidR="009211BE" w14:paraId="4D48A0A1" w14:textId="77777777">
        <w:trPr>
          <w:trHeight w:val="227"/>
        </w:trPr>
        <w:tc>
          <w:tcPr>
            <w:tcW w:w="2694" w:type="dxa"/>
            <w:tcMar>
              <w:top w:w="35" w:type="dxa"/>
              <w:left w:w="0" w:type="dxa"/>
              <w:bottom w:w="32" w:type="dxa"/>
              <w:right w:w="0" w:type="dxa"/>
            </w:tcMar>
          </w:tcPr>
          <w:p w14:paraId="296BF1BC"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主动脉内球囊反搏</w:t>
            </w:r>
          </w:p>
        </w:tc>
        <w:tc>
          <w:tcPr>
            <w:tcW w:w="2409" w:type="dxa"/>
            <w:tcMar>
              <w:top w:w="35" w:type="dxa"/>
              <w:left w:w="0" w:type="dxa"/>
              <w:bottom w:w="32" w:type="dxa"/>
              <w:right w:w="0" w:type="dxa"/>
            </w:tcMar>
            <w:vAlign w:val="center"/>
          </w:tcPr>
          <w:p w14:paraId="2D258C3E"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 (23.1)</w:t>
            </w:r>
          </w:p>
        </w:tc>
        <w:tc>
          <w:tcPr>
            <w:tcW w:w="2268" w:type="dxa"/>
            <w:tcMar>
              <w:top w:w="35" w:type="dxa"/>
              <w:left w:w="0" w:type="dxa"/>
              <w:bottom w:w="32" w:type="dxa"/>
              <w:right w:w="0" w:type="dxa"/>
            </w:tcMar>
            <w:vAlign w:val="center"/>
          </w:tcPr>
          <w:p w14:paraId="1482034A"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 (9.2)</w:t>
            </w:r>
          </w:p>
        </w:tc>
        <w:tc>
          <w:tcPr>
            <w:tcW w:w="993" w:type="dxa"/>
            <w:tcMar>
              <w:top w:w="35" w:type="dxa"/>
              <w:left w:w="0" w:type="dxa"/>
              <w:bottom w:w="32" w:type="dxa"/>
              <w:right w:w="0" w:type="dxa"/>
            </w:tcMar>
            <w:vAlign w:val="center"/>
          </w:tcPr>
          <w:p w14:paraId="5AC4DC69"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0.002</w:t>
            </w:r>
          </w:p>
        </w:tc>
      </w:tr>
      <w:tr w:rsidR="009211BE" w14:paraId="062713D2" w14:textId="77777777">
        <w:trPr>
          <w:trHeight w:val="227"/>
        </w:trPr>
        <w:tc>
          <w:tcPr>
            <w:tcW w:w="2694" w:type="dxa"/>
            <w:tcMar>
              <w:top w:w="35" w:type="dxa"/>
              <w:left w:w="0" w:type="dxa"/>
              <w:bottom w:w="32" w:type="dxa"/>
              <w:right w:w="0" w:type="dxa"/>
            </w:tcMar>
          </w:tcPr>
          <w:p w14:paraId="76471D52"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肾脏替代疗法</w:t>
            </w:r>
          </w:p>
        </w:tc>
        <w:tc>
          <w:tcPr>
            <w:tcW w:w="2409" w:type="dxa"/>
            <w:tcMar>
              <w:top w:w="35" w:type="dxa"/>
              <w:left w:w="0" w:type="dxa"/>
              <w:bottom w:w="32" w:type="dxa"/>
              <w:right w:w="0" w:type="dxa"/>
            </w:tcMar>
            <w:vAlign w:val="center"/>
          </w:tcPr>
          <w:p w14:paraId="213CD504"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 (29.5)</w:t>
            </w:r>
          </w:p>
        </w:tc>
        <w:tc>
          <w:tcPr>
            <w:tcW w:w="2268" w:type="dxa"/>
            <w:tcMar>
              <w:top w:w="35" w:type="dxa"/>
              <w:left w:w="0" w:type="dxa"/>
              <w:bottom w:w="32" w:type="dxa"/>
              <w:right w:w="0" w:type="dxa"/>
            </w:tcMar>
            <w:vAlign w:val="center"/>
          </w:tcPr>
          <w:p w14:paraId="35C4C89B"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81 (41.3)</w:t>
            </w:r>
          </w:p>
        </w:tc>
        <w:tc>
          <w:tcPr>
            <w:tcW w:w="993" w:type="dxa"/>
            <w:tcMar>
              <w:top w:w="35" w:type="dxa"/>
              <w:left w:w="0" w:type="dxa"/>
              <w:bottom w:w="32" w:type="dxa"/>
              <w:right w:w="0" w:type="dxa"/>
            </w:tcMar>
            <w:vAlign w:val="center"/>
          </w:tcPr>
          <w:p w14:paraId="5950A717"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0.068</w:t>
            </w:r>
          </w:p>
        </w:tc>
      </w:tr>
      <w:tr w:rsidR="009211BE" w14:paraId="6B8B5C8D" w14:textId="77777777">
        <w:trPr>
          <w:trHeight w:val="227"/>
        </w:trPr>
        <w:tc>
          <w:tcPr>
            <w:tcW w:w="2694" w:type="dxa"/>
            <w:tcMar>
              <w:top w:w="35" w:type="dxa"/>
              <w:left w:w="0" w:type="dxa"/>
              <w:bottom w:w="32" w:type="dxa"/>
              <w:right w:w="0" w:type="dxa"/>
            </w:tcMar>
          </w:tcPr>
          <w:p w14:paraId="2430196F" w14:textId="77777777" w:rsidR="009211BE" w:rsidRDefault="00CB32B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葡萄糖水平（mg/dL）</w:t>
            </w:r>
          </w:p>
        </w:tc>
        <w:tc>
          <w:tcPr>
            <w:tcW w:w="2409" w:type="dxa"/>
            <w:tcMar>
              <w:top w:w="35" w:type="dxa"/>
              <w:left w:w="0" w:type="dxa"/>
              <w:bottom w:w="32" w:type="dxa"/>
              <w:right w:w="0" w:type="dxa"/>
            </w:tcMar>
            <w:vAlign w:val="center"/>
          </w:tcPr>
          <w:p w14:paraId="644C8F5D" w14:textId="77777777" w:rsidR="009211BE" w:rsidRDefault="009211BE">
            <w:pPr>
              <w:widowControl/>
              <w:spacing w:line="360" w:lineRule="auto"/>
              <w:ind w:left="160" w:firstLineChars="100" w:firstLine="240"/>
              <w:jc w:val="center"/>
              <w:rPr>
                <w:rFonts w:ascii="宋体" w:eastAsia="宋体" w:hAnsi="宋体" w:cs="宋体"/>
                <w:color w:val="000000"/>
                <w:kern w:val="0"/>
                <w:sz w:val="24"/>
                <w:szCs w:val="24"/>
              </w:rPr>
            </w:pPr>
          </w:p>
        </w:tc>
        <w:tc>
          <w:tcPr>
            <w:tcW w:w="2268" w:type="dxa"/>
            <w:tcMar>
              <w:top w:w="35" w:type="dxa"/>
              <w:left w:w="0" w:type="dxa"/>
              <w:bottom w:w="32" w:type="dxa"/>
              <w:right w:w="0" w:type="dxa"/>
            </w:tcMar>
            <w:vAlign w:val="center"/>
          </w:tcPr>
          <w:p w14:paraId="6824CD08" w14:textId="77777777" w:rsidR="009211BE" w:rsidRDefault="009211BE">
            <w:pPr>
              <w:widowControl/>
              <w:spacing w:line="360" w:lineRule="auto"/>
              <w:ind w:left="160" w:firstLineChars="100" w:firstLine="240"/>
              <w:jc w:val="center"/>
              <w:rPr>
                <w:rFonts w:ascii="宋体" w:eastAsia="宋体" w:hAnsi="宋体" w:cs="宋体"/>
                <w:color w:val="000000"/>
                <w:kern w:val="0"/>
                <w:sz w:val="24"/>
                <w:szCs w:val="24"/>
              </w:rPr>
            </w:pPr>
          </w:p>
        </w:tc>
        <w:tc>
          <w:tcPr>
            <w:tcW w:w="993" w:type="dxa"/>
            <w:tcMar>
              <w:top w:w="35" w:type="dxa"/>
              <w:left w:w="0" w:type="dxa"/>
              <w:bottom w:w="32" w:type="dxa"/>
              <w:right w:w="0" w:type="dxa"/>
            </w:tcMar>
            <w:vAlign w:val="center"/>
          </w:tcPr>
          <w:p w14:paraId="66DA9B79" w14:textId="77777777" w:rsidR="009211BE" w:rsidRDefault="009211BE">
            <w:pPr>
              <w:widowControl/>
              <w:spacing w:line="360" w:lineRule="auto"/>
              <w:jc w:val="center"/>
              <w:rPr>
                <w:rFonts w:ascii="宋体" w:eastAsia="宋体" w:hAnsi="宋体" w:cs="宋体"/>
                <w:color w:val="000000"/>
                <w:kern w:val="0"/>
                <w:sz w:val="24"/>
                <w:szCs w:val="24"/>
              </w:rPr>
            </w:pPr>
          </w:p>
        </w:tc>
      </w:tr>
      <w:tr w:rsidR="009211BE" w14:paraId="64E404A2" w14:textId="77777777">
        <w:trPr>
          <w:trHeight w:val="227"/>
        </w:trPr>
        <w:tc>
          <w:tcPr>
            <w:tcW w:w="2694" w:type="dxa"/>
            <w:tcMar>
              <w:top w:w="35" w:type="dxa"/>
              <w:left w:w="0" w:type="dxa"/>
              <w:bottom w:w="32" w:type="dxa"/>
              <w:right w:w="0" w:type="dxa"/>
            </w:tcMar>
          </w:tcPr>
          <w:p w14:paraId="5C6A8721" w14:textId="3858C9BE" w:rsidR="009211BE" w:rsidRDefault="00CB32B0">
            <w:pPr>
              <w:widowControl/>
              <w:spacing w:line="360" w:lineRule="auto"/>
              <w:ind w:left="160" w:firstLineChars="100" w:firstLine="240"/>
              <w:rPr>
                <w:rFonts w:ascii="宋体" w:eastAsia="宋体" w:hAnsi="宋体" w:cs="宋体"/>
                <w:color w:val="000000"/>
                <w:kern w:val="0"/>
                <w:sz w:val="24"/>
                <w:szCs w:val="24"/>
              </w:rPr>
            </w:pPr>
            <w:r w:rsidRPr="006E0680">
              <w:rPr>
                <w:rFonts w:ascii="宋体" w:eastAsia="宋体" w:hAnsi="宋体" w:cs="宋体" w:hint="eastAsia"/>
                <w:color w:val="000000"/>
                <w:kern w:val="0"/>
                <w:sz w:val="24"/>
                <w:szCs w:val="24"/>
              </w:rPr>
              <w:t>第</w:t>
            </w:r>
            <w:r w:rsidRPr="006E0680">
              <w:rPr>
                <w:rFonts w:ascii="宋体" w:eastAsia="宋体" w:hAnsi="宋体" w:cs="宋体"/>
                <w:color w:val="000000"/>
                <w:kern w:val="0"/>
                <w:sz w:val="24"/>
                <w:szCs w:val="24"/>
              </w:rPr>
              <w:t>1</w:t>
            </w:r>
            <w:r w:rsidR="006E0680" w:rsidRPr="001008B4">
              <w:rPr>
                <w:rFonts w:ascii="宋体" w:eastAsia="宋体" w:hAnsi="宋体" w:cs="宋体"/>
                <w:color w:val="000000"/>
                <w:kern w:val="0"/>
                <w:sz w:val="24"/>
                <w:szCs w:val="24"/>
              </w:rPr>
              <w:t>-</w:t>
            </w:r>
            <w:r w:rsidRPr="006E0680">
              <w:rPr>
                <w:rFonts w:ascii="宋体" w:eastAsia="宋体" w:hAnsi="宋体" w:cs="宋体"/>
                <w:color w:val="000000"/>
                <w:kern w:val="0"/>
                <w:sz w:val="24"/>
                <w:szCs w:val="24"/>
              </w:rPr>
              <w:t>2天间</w:t>
            </w:r>
            <w:r>
              <w:rPr>
                <w:rFonts w:ascii="宋体" w:eastAsia="宋体" w:hAnsi="宋体" w:cs="宋体" w:hint="eastAsia"/>
                <w:color w:val="000000"/>
                <w:kern w:val="0"/>
                <w:sz w:val="24"/>
                <w:szCs w:val="24"/>
              </w:rPr>
              <w:t>最大血糖值</w:t>
            </w:r>
          </w:p>
        </w:tc>
        <w:tc>
          <w:tcPr>
            <w:tcW w:w="2409" w:type="dxa"/>
            <w:tcMar>
              <w:top w:w="35" w:type="dxa"/>
              <w:left w:w="0" w:type="dxa"/>
              <w:bottom w:w="32" w:type="dxa"/>
              <w:right w:w="0" w:type="dxa"/>
            </w:tcMar>
            <w:vAlign w:val="center"/>
          </w:tcPr>
          <w:p w14:paraId="7DCEEB34"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270.5 (223.0–315.0)</w:t>
            </w:r>
          </w:p>
        </w:tc>
        <w:tc>
          <w:tcPr>
            <w:tcW w:w="2268" w:type="dxa"/>
            <w:tcMar>
              <w:top w:w="35" w:type="dxa"/>
              <w:left w:w="0" w:type="dxa"/>
              <w:bottom w:w="32" w:type="dxa"/>
              <w:right w:w="0" w:type="dxa"/>
            </w:tcMar>
            <w:vAlign w:val="center"/>
          </w:tcPr>
          <w:p w14:paraId="06223184"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303.5 (218.5–391.5)</w:t>
            </w:r>
          </w:p>
        </w:tc>
        <w:tc>
          <w:tcPr>
            <w:tcW w:w="993" w:type="dxa"/>
            <w:tcMar>
              <w:top w:w="35" w:type="dxa"/>
              <w:left w:w="0" w:type="dxa"/>
              <w:bottom w:w="32" w:type="dxa"/>
              <w:right w:w="0" w:type="dxa"/>
            </w:tcMar>
            <w:vAlign w:val="center"/>
          </w:tcPr>
          <w:p w14:paraId="68D23FBC"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0.034</w:t>
            </w:r>
          </w:p>
        </w:tc>
      </w:tr>
      <w:tr w:rsidR="009211BE" w14:paraId="46F46912" w14:textId="77777777">
        <w:trPr>
          <w:trHeight w:val="227"/>
        </w:trPr>
        <w:tc>
          <w:tcPr>
            <w:tcW w:w="2694" w:type="dxa"/>
            <w:tcMar>
              <w:top w:w="35" w:type="dxa"/>
              <w:left w:w="0" w:type="dxa"/>
              <w:bottom w:w="32" w:type="dxa"/>
              <w:right w:w="0" w:type="dxa"/>
            </w:tcMar>
          </w:tcPr>
          <w:p w14:paraId="1A92A5ED"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血糖水平（mg/dL）</w:t>
            </w:r>
          </w:p>
        </w:tc>
        <w:tc>
          <w:tcPr>
            <w:tcW w:w="2409" w:type="dxa"/>
            <w:tcMar>
              <w:top w:w="35" w:type="dxa"/>
              <w:left w:w="0" w:type="dxa"/>
              <w:bottom w:w="32" w:type="dxa"/>
              <w:right w:w="0" w:type="dxa"/>
            </w:tcMar>
            <w:vAlign w:val="center"/>
          </w:tcPr>
          <w:p w14:paraId="06F43E3B" w14:textId="77777777" w:rsidR="009211BE" w:rsidRDefault="009211BE">
            <w:pPr>
              <w:widowControl/>
              <w:spacing w:line="360" w:lineRule="auto"/>
              <w:ind w:left="160" w:firstLineChars="100" w:firstLine="240"/>
              <w:jc w:val="center"/>
              <w:rPr>
                <w:rFonts w:ascii="宋体" w:eastAsia="宋体" w:hAnsi="宋体" w:cs="宋体"/>
                <w:color w:val="000000"/>
                <w:kern w:val="0"/>
                <w:sz w:val="24"/>
                <w:szCs w:val="24"/>
              </w:rPr>
            </w:pPr>
          </w:p>
        </w:tc>
        <w:tc>
          <w:tcPr>
            <w:tcW w:w="2268" w:type="dxa"/>
            <w:tcMar>
              <w:top w:w="35" w:type="dxa"/>
              <w:left w:w="0" w:type="dxa"/>
              <w:bottom w:w="32" w:type="dxa"/>
              <w:right w:w="0" w:type="dxa"/>
            </w:tcMar>
            <w:vAlign w:val="center"/>
          </w:tcPr>
          <w:p w14:paraId="63041BB2" w14:textId="77777777" w:rsidR="009211BE" w:rsidRDefault="009211BE">
            <w:pPr>
              <w:widowControl/>
              <w:spacing w:line="360" w:lineRule="auto"/>
              <w:ind w:left="160" w:firstLineChars="100" w:firstLine="240"/>
              <w:jc w:val="center"/>
              <w:rPr>
                <w:rFonts w:ascii="宋体" w:eastAsia="宋体" w:hAnsi="宋体" w:cs="宋体"/>
                <w:color w:val="000000"/>
                <w:kern w:val="0"/>
                <w:sz w:val="24"/>
                <w:szCs w:val="24"/>
              </w:rPr>
            </w:pPr>
          </w:p>
        </w:tc>
        <w:tc>
          <w:tcPr>
            <w:tcW w:w="993" w:type="dxa"/>
            <w:tcMar>
              <w:top w:w="35" w:type="dxa"/>
              <w:left w:w="0" w:type="dxa"/>
              <w:bottom w:w="32" w:type="dxa"/>
              <w:right w:w="0" w:type="dxa"/>
            </w:tcMar>
            <w:vAlign w:val="center"/>
          </w:tcPr>
          <w:p w14:paraId="2FA779B2" w14:textId="77777777" w:rsidR="009211BE" w:rsidRDefault="00CB32B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0.092</w:t>
            </w:r>
          </w:p>
        </w:tc>
      </w:tr>
      <w:tr w:rsidR="009211BE" w14:paraId="38CEBC72" w14:textId="77777777">
        <w:trPr>
          <w:trHeight w:val="227"/>
        </w:trPr>
        <w:tc>
          <w:tcPr>
            <w:tcW w:w="2694" w:type="dxa"/>
            <w:tcMar>
              <w:top w:w="35" w:type="dxa"/>
              <w:left w:w="0" w:type="dxa"/>
              <w:bottom w:w="32" w:type="dxa"/>
              <w:right w:w="0" w:type="dxa"/>
            </w:tcMar>
          </w:tcPr>
          <w:p w14:paraId="296FB55A"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&lt;200</w:t>
            </w:r>
          </w:p>
        </w:tc>
        <w:tc>
          <w:tcPr>
            <w:tcW w:w="2409" w:type="dxa"/>
            <w:tcMar>
              <w:top w:w="35" w:type="dxa"/>
              <w:left w:w="0" w:type="dxa"/>
              <w:bottom w:w="32" w:type="dxa"/>
              <w:right w:w="0" w:type="dxa"/>
            </w:tcMar>
            <w:vAlign w:val="center"/>
          </w:tcPr>
          <w:p w14:paraId="3D8D010E"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 (17.9)</w:t>
            </w:r>
          </w:p>
        </w:tc>
        <w:tc>
          <w:tcPr>
            <w:tcW w:w="2268" w:type="dxa"/>
            <w:tcMar>
              <w:top w:w="35" w:type="dxa"/>
              <w:left w:w="0" w:type="dxa"/>
              <w:bottom w:w="32" w:type="dxa"/>
              <w:right w:w="0" w:type="dxa"/>
            </w:tcMar>
            <w:vAlign w:val="center"/>
          </w:tcPr>
          <w:p w14:paraId="656E5B3D"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38 (19.4)</w:t>
            </w:r>
          </w:p>
        </w:tc>
        <w:tc>
          <w:tcPr>
            <w:tcW w:w="993" w:type="dxa"/>
            <w:tcMar>
              <w:top w:w="35" w:type="dxa"/>
              <w:left w:w="0" w:type="dxa"/>
              <w:bottom w:w="32" w:type="dxa"/>
              <w:right w:w="0" w:type="dxa"/>
            </w:tcMar>
            <w:vAlign w:val="center"/>
          </w:tcPr>
          <w:p w14:paraId="55AF153E" w14:textId="77777777" w:rsidR="009211BE" w:rsidRDefault="009211BE">
            <w:pPr>
              <w:widowControl/>
              <w:spacing w:line="360" w:lineRule="auto"/>
              <w:jc w:val="center"/>
              <w:rPr>
                <w:rFonts w:ascii="宋体" w:eastAsia="宋体" w:hAnsi="宋体" w:cs="宋体"/>
                <w:color w:val="000000"/>
                <w:kern w:val="0"/>
                <w:sz w:val="24"/>
                <w:szCs w:val="24"/>
              </w:rPr>
            </w:pPr>
          </w:p>
        </w:tc>
      </w:tr>
      <w:tr w:rsidR="009211BE" w14:paraId="44F2B22B" w14:textId="77777777">
        <w:trPr>
          <w:trHeight w:val="227"/>
        </w:trPr>
        <w:tc>
          <w:tcPr>
            <w:tcW w:w="2694" w:type="dxa"/>
            <w:tcMar>
              <w:top w:w="35" w:type="dxa"/>
              <w:left w:w="0" w:type="dxa"/>
              <w:bottom w:w="32" w:type="dxa"/>
              <w:right w:w="0" w:type="dxa"/>
            </w:tcMar>
          </w:tcPr>
          <w:p w14:paraId="6E2041D8"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200–300</w:t>
            </w:r>
          </w:p>
        </w:tc>
        <w:tc>
          <w:tcPr>
            <w:tcW w:w="2409" w:type="dxa"/>
            <w:tcMar>
              <w:top w:w="35" w:type="dxa"/>
              <w:left w:w="0" w:type="dxa"/>
              <w:bottom w:w="32" w:type="dxa"/>
              <w:right w:w="0" w:type="dxa"/>
            </w:tcMar>
            <w:vAlign w:val="center"/>
          </w:tcPr>
          <w:p w14:paraId="668AF2E7"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34 (43.6)</w:t>
            </w:r>
          </w:p>
        </w:tc>
        <w:tc>
          <w:tcPr>
            <w:tcW w:w="2268" w:type="dxa"/>
            <w:tcMar>
              <w:top w:w="35" w:type="dxa"/>
              <w:left w:w="0" w:type="dxa"/>
              <w:bottom w:w="32" w:type="dxa"/>
              <w:right w:w="0" w:type="dxa"/>
            </w:tcMar>
            <w:vAlign w:val="center"/>
          </w:tcPr>
          <w:p w14:paraId="7B95766F"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59 (30.1)</w:t>
            </w:r>
          </w:p>
        </w:tc>
        <w:tc>
          <w:tcPr>
            <w:tcW w:w="993" w:type="dxa"/>
            <w:tcMar>
              <w:top w:w="35" w:type="dxa"/>
              <w:left w:w="0" w:type="dxa"/>
              <w:bottom w:w="32" w:type="dxa"/>
              <w:right w:w="0" w:type="dxa"/>
            </w:tcMar>
            <w:vAlign w:val="center"/>
          </w:tcPr>
          <w:p w14:paraId="2FED7D75" w14:textId="77777777" w:rsidR="009211BE" w:rsidRDefault="009211BE">
            <w:pPr>
              <w:widowControl/>
              <w:spacing w:line="360" w:lineRule="auto"/>
              <w:jc w:val="center"/>
              <w:rPr>
                <w:rFonts w:ascii="宋体" w:eastAsia="宋体" w:hAnsi="宋体" w:cs="宋体"/>
                <w:color w:val="000000"/>
                <w:kern w:val="0"/>
                <w:sz w:val="24"/>
                <w:szCs w:val="24"/>
              </w:rPr>
            </w:pPr>
          </w:p>
        </w:tc>
      </w:tr>
      <w:tr w:rsidR="009211BE" w14:paraId="070F04EA" w14:textId="77777777">
        <w:trPr>
          <w:trHeight w:val="227"/>
        </w:trPr>
        <w:tc>
          <w:tcPr>
            <w:tcW w:w="2694" w:type="dxa"/>
            <w:tcBorders>
              <w:top w:val="nil"/>
              <w:left w:val="nil"/>
              <w:bottom w:val="single" w:sz="8" w:space="0" w:color="000000"/>
              <w:right w:val="nil"/>
            </w:tcBorders>
            <w:tcMar>
              <w:top w:w="35" w:type="dxa"/>
              <w:left w:w="0" w:type="dxa"/>
              <w:bottom w:w="32" w:type="dxa"/>
              <w:right w:w="0" w:type="dxa"/>
            </w:tcMar>
          </w:tcPr>
          <w:p w14:paraId="2DA9EC18" w14:textId="77777777" w:rsidR="009211BE" w:rsidRDefault="00CB32B0">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&gt;300</w:t>
            </w:r>
          </w:p>
        </w:tc>
        <w:tc>
          <w:tcPr>
            <w:tcW w:w="2409" w:type="dxa"/>
            <w:tcBorders>
              <w:top w:val="nil"/>
              <w:left w:val="nil"/>
              <w:bottom w:val="single" w:sz="8" w:space="0" w:color="000000"/>
              <w:right w:val="nil"/>
            </w:tcBorders>
            <w:tcMar>
              <w:top w:w="35" w:type="dxa"/>
              <w:left w:w="0" w:type="dxa"/>
              <w:bottom w:w="32" w:type="dxa"/>
              <w:right w:w="0" w:type="dxa"/>
            </w:tcMar>
            <w:vAlign w:val="center"/>
          </w:tcPr>
          <w:p w14:paraId="6AD331B4"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 (38.5)</w:t>
            </w:r>
          </w:p>
        </w:tc>
        <w:tc>
          <w:tcPr>
            <w:tcW w:w="2268" w:type="dxa"/>
            <w:tcBorders>
              <w:top w:val="nil"/>
              <w:left w:val="nil"/>
              <w:bottom w:val="single" w:sz="8" w:space="0" w:color="000000"/>
              <w:right w:val="nil"/>
            </w:tcBorders>
            <w:tcMar>
              <w:top w:w="35" w:type="dxa"/>
              <w:left w:w="0" w:type="dxa"/>
              <w:bottom w:w="32" w:type="dxa"/>
              <w:right w:w="0" w:type="dxa"/>
            </w:tcMar>
            <w:vAlign w:val="center"/>
          </w:tcPr>
          <w:p w14:paraId="4326B031" w14:textId="77777777" w:rsidR="009211BE" w:rsidRDefault="00CB32B0">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99 (50.5)</w:t>
            </w:r>
          </w:p>
        </w:tc>
        <w:tc>
          <w:tcPr>
            <w:tcW w:w="993" w:type="dxa"/>
            <w:tcBorders>
              <w:top w:val="nil"/>
              <w:left w:val="nil"/>
              <w:bottom w:val="single" w:sz="8" w:space="0" w:color="000000"/>
              <w:right w:val="nil"/>
            </w:tcBorders>
            <w:tcMar>
              <w:top w:w="35" w:type="dxa"/>
              <w:left w:w="0" w:type="dxa"/>
              <w:bottom w:w="32" w:type="dxa"/>
              <w:right w:w="0" w:type="dxa"/>
            </w:tcMar>
            <w:vAlign w:val="center"/>
          </w:tcPr>
          <w:p w14:paraId="3E420D8F" w14:textId="77777777" w:rsidR="009211BE" w:rsidRDefault="009211BE">
            <w:pPr>
              <w:widowControl/>
              <w:spacing w:line="360" w:lineRule="auto"/>
              <w:jc w:val="center"/>
              <w:rPr>
                <w:rFonts w:ascii="宋体" w:eastAsia="宋体" w:hAnsi="宋体" w:cs="宋体"/>
                <w:color w:val="000000"/>
                <w:kern w:val="0"/>
                <w:sz w:val="24"/>
                <w:szCs w:val="24"/>
              </w:rPr>
            </w:pPr>
          </w:p>
        </w:tc>
      </w:tr>
    </w:tbl>
    <w:p w14:paraId="663C2FF1" w14:textId="77777777" w:rsidR="009211BE" w:rsidRDefault="00CB32B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连续变量使用中位数(Q1-Q3)表示，分类变量使用n(%)表示。</w:t>
      </w:r>
    </w:p>
    <w:p w14:paraId="2E080D77" w14:textId="414042BC" w:rsidR="009211BE" w:rsidRDefault="00CB32B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CPR=心肺复苏；ECMO=</w:t>
      </w:r>
      <w:r w:rsidR="00C3727A">
        <w:rPr>
          <w:rFonts w:ascii="宋体" w:eastAsia="宋体" w:hAnsi="宋体" w:cs="宋体" w:hint="eastAsia"/>
          <w:color w:val="000000"/>
          <w:sz w:val="24"/>
          <w:szCs w:val="24"/>
        </w:rPr>
        <w:t>体外膜氧合</w:t>
      </w:r>
      <w:r>
        <w:rPr>
          <w:rFonts w:ascii="宋体" w:eastAsia="宋体" w:hAnsi="宋体" w:cs="宋体" w:hint="eastAsia"/>
          <w:color w:val="000000"/>
          <w:sz w:val="24"/>
          <w:szCs w:val="24"/>
        </w:rPr>
        <w:t>；VF=室颤；VT=室速。</w:t>
      </w:r>
    </w:p>
    <w:p w14:paraId="47B37EE8" w14:textId="77777777" w:rsidR="009211BE" w:rsidRDefault="009211BE">
      <w:pPr>
        <w:spacing w:line="360" w:lineRule="auto"/>
        <w:rPr>
          <w:rFonts w:ascii="宋体" w:eastAsia="宋体" w:hAnsi="宋体" w:cs="宋体"/>
          <w:color w:val="000000"/>
          <w:sz w:val="24"/>
          <w:szCs w:val="24"/>
        </w:rPr>
      </w:pPr>
    </w:p>
    <w:p w14:paraId="4C1867DE" w14:textId="77777777" w:rsidR="009211BE" w:rsidRDefault="00CB32B0">
      <w:pPr>
        <w:spacing w:line="360" w:lineRule="auto"/>
        <w:rPr>
          <w:rFonts w:ascii="宋体" w:eastAsia="宋体" w:hAnsi="宋体" w:cs="宋体"/>
          <w:b/>
          <w:bCs/>
          <w:color w:val="000000"/>
          <w:sz w:val="24"/>
          <w:szCs w:val="24"/>
        </w:rPr>
      </w:pPr>
      <w:r>
        <w:rPr>
          <w:rFonts w:ascii="宋体" w:eastAsia="宋体" w:hAnsi="宋体" w:cs="宋体" w:hint="eastAsia"/>
          <w:b/>
          <w:bCs/>
          <w:color w:val="000000"/>
          <w:sz w:val="24"/>
          <w:szCs w:val="24"/>
        </w:rPr>
        <w:t>低血流量时间与年龄对神经系统预后的影响</w:t>
      </w:r>
    </w:p>
    <w:p w14:paraId="5F558477" w14:textId="3A28B9A0" w:rsidR="009211BE" w:rsidRDefault="00CB32B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尽管CPR至ECMO启动时间在30分钟或更短，年龄在65岁以下是ECPR后良好的神经系统预后的预测因素，但年龄和低血流量时间之间存在显著的相关性(补充表1)。与CPR至ECMO启动时间超过30分钟的患者相比，</w:t>
      </w:r>
      <w:r w:rsidR="008A160C">
        <w:rPr>
          <w:rFonts w:ascii="宋体" w:eastAsia="宋体" w:hAnsi="宋体" w:cs="宋体" w:hint="eastAsia"/>
          <w:color w:val="000000"/>
          <w:sz w:val="24"/>
          <w:szCs w:val="24"/>
        </w:rPr>
        <w:t>不超过30分钟的患者</w:t>
      </w:r>
      <w:r>
        <w:rPr>
          <w:rFonts w:ascii="宋体" w:eastAsia="宋体" w:hAnsi="宋体" w:cs="宋体" w:hint="eastAsia"/>
          <w:color w:val="000000"/>
          <w:sz w:val="24"/>
          <w:szCs w:val="24"/>
        </w:rPr>
        <w:t>年龄与神经系统预后的相关性相对较小。CPR至ECMO启动时间超过30分钟和年龄超过65岁与较差的神经系统预后显著相关(图2，补充图2)。在此基础上，我们开发了一种新的ECPR后神经预后评分系统(表3)。</w:t>
      </w:r>
    </w:p>
    <w:p w14:paraId="6EC7BABF" w14:textId="77777777" w:rsidR="009211BE" w:rsidRDefault="009211BE">
      <w:pPr>
        <w:spacing w:line="360" w:lineRule="auto"/>
        <w:ind w:firstLineChars="200" w:firstLine="480"/>
        <w:rPr>
          <w:rFonts w:ascii="宋体" w:eastAsia="宋体" w:hAnsi="宋体" w:cs="宋体"/>
          <w:color w:val="000000"/>
          <w:sz w:val="24"/>
          <w:szCs w:val="24"/>
        </w:rPr>
      </w:pPr>
    </w:p>
    <w:p w14:paraId="7F541257" w14:textId="77777777" w:rsidR="009211BE" w:rsidRDefault="009211BE">
      <w:pPr>
        <w:spacing w:line="360" w:lineRule="auto"/>
        <w:ind w:firstLineChars="200" w:firstLine="480"/>
        <w:rPr>
          <w:rFonts w:ascii="宋体" w:eastAsia="宋体" w:hAnsi="宋体" w:cs="宋体"/>
          <w:color w:val="000000"/>
          <w:sz w:val="24"/>
          <w:szCs w:val="24"/>
        </w:rPr>
      </w:pPr>
    </w:p>
    <w:p w14:paraId="5750959B" w14:textId="47660A2A" w:rsidR="009211BE" w:rsidRDefault="002C39D7" w:rsidP="001008B4">
      <w:pPr>
        <w:spacing w:line="360" w:lineRule="auto"/>
        <w:jc w:val="center"/>
        <w:rPr>
          <w:rFonts w:ascii="宋体" w:eastAsia="宋体" w:hAnsi="宋体" w:cs="宋体"/>
          <w:color w:val="000000"/>
          <w:sz w:val="24"/>
          <w:szCs w:val="24"/>
        </w:rPr>
      </w:pPr>
      <w:r w:rsidRPr="002C39D7">
        <w:rPr>
          <w:rFonts w:ascii="宋体" w:eastAsia="宋体" w:hAnsi="宋体" w:cs="宋体"/>
          <w:noProof/>
          <w:color w:val="000000"/>
          <w:sz w:val="24"/>
          <w:szCs w:val="24"/>
        </w:rPr>
        <w:lastRenderedPageBreak/>
        <w:drawing>
          <wp:inline distT="0" distB="0" distL="0" distR="0" wp14:anchorId="41989C10" wp14:editId="77AF7369">
            <wp:extent cx="5274310" cy="438848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388485"/>
                    </a:xfrm>
                    <a:prstGeom prst="rect">
                      <a:avLst/>
                    </a:prstGeom>
                    <a:noFill/>
                    <a:ln>
                      <a:noFill/>
                    </a:ln>
                  </pic:spPr>
                </pic:pic>
              </a:graphicData>
            </a:graphic>
          </wp:inline>
        </w:drawing>
      </w:r>
    </w:p>
    <w:p w14:paraId="49883AD8" w14:textId="653562F6" w:rsidR="009211BE" w:rsidRDefault="00CB32B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图2</w:t>
      </w:r>
      <w:r w:rsidR="006C73CC">
        <w:rPr>
          <w:rFonts w:ascii="宋体" w:eastAsia="宋体" w:hAnsi="宋体" w:cs="宋体" w:hint="eastAsia"/>
          <w:color w:val="000000"/>
          <w:sz w:val="24"/>
          <w:szCs w:val="24"/>
        </w:rPr>
        <w:t>.</w:t>
      </w:r>
      <w:r>
        <w:rPr>
          <w:rFonts w:ascii="宋体" w:eastAsia="宋体" w:hAnsi="宋体" w:cs="宋体" w:hint="eastAsia"/>
          <w:color w:val="000000"/>
          <w:sz w:val="24"/>
          <w:szCs w:val="24"/>
        </w:rPr>
        <w:t>神经系统预后不良与根据年龄(岁)和心肺复苏(CPR)与体外心肺复苏(ECMO)启动时间(分钟)之间的关系。在CPR至ECMO启动时间为30分钟或更短的患者与CPR至ECMO启动时间长于30分钟的患者相比，年龄与神经系统预后的相关性相对较小；CPR至ECMO启动时间超过30分钟和年龄超过65岁与神经系统预后不良显著相关。</w:t>
      </w:r>
    </w:p>
    <w:p w14:paraId="4344C566" w14:textId="77777777" w:rsidR="009211BE" w:rsidRDefault="009211BE">
      <w:pPr>
        <w:spacing w:line="360" w:lineRule="auto"/>
        <w:rPr>
          <w:rFonts w:ascii="宋体" w:eastAsia="宋体" w:hAnsi="宋体" w:cs="宋体"/>
          <w:color w:val="000000"/>
          <w:sz w:val="24"/>
          <w:szCs w:val="24"/>
        </w:rPr>
      </w:pPr>
    </w:p>
    <w:p w14:paraId="4055C4C1" w14:textId="4C22601E" w:rsidR="009211BE" w:rsidRPr="001008B4" w:rsidRDefault="00CB32B0">
      <w:pPr>
        <w:spacing w:line="360" w:lineRule="auto"/>
        <w:rPr>
          <w:rFonts w:ascii="宋体" w:eastAsia="宋体" w:hAnsi="宋体" w:cs="宋体"/>
          <w:b/>
          <w:bCs/>
          <w:color w:val="000000"/>
          <w:sz w:val="24"/>
          <w:szCs w:val="24"/>
        </w:rPr>
      </w:pPr>
      <w:r w:rsidRPr="001008B4">
        <w:rPr>
          <w:rFonts w:ascii="宋体" w:eastAsia="宋体" w:hAnsi="宋体" w:cs="宋体"/>
          <w:b/>
          <w:bCs/>
          <w:color w:val="000000"/>
          <w:sz w:val="24"/>
          <w:szCs w:val="24"/>
        </w:rPr>
        <w:t>ECPR后神经系统预后</w:t>
      </w:r>
      <w:r w:rsidR="00E236F0" w:rsidRPr="001008B4">
        <w:rPr>
          <w:rFonts w:ascii="宋体" w:eastAsia="宋体" w:hAnsi="宋体" w:cs="宋体" w:hint="eastAsia"/>
          <w:b/>
          <w:bCs/>
          <w:color w:val="000000"/>
          <w:sz w:val="24"/>
          <w:szCs w:val="24"/>
        </w:rPr>
        <w:t>的</w:t>
      </w:r>
      <w:proofErr w:type="gramStart"/>
      <w:r w:rsidR="00E236F0" w:rsidRPr="001008B4">
        <w:rPr>
          <w:rFonts w:ascii="宋体" w:eastAsia="宋体" w:hAnsi="宋体" w:cs="宋体" w:hint="eastAsia"/>
          <w:b/>
          <w:bCs/>
          <w:color w:val="000000"/>
          <w:sz w:val="24"/>
          <w:szCs w:val="24"/>
        </w:rPr>
        <w:t>新</w:t>
      </w:r>
      <w:r w:rsidR="0090449A">
        <w:rPr>
          <w:rFonts w:ascii="宋体" w:eastAsia="宋体" w:hAnsi="宋体" w:cs="宋体" w:hint="eastAsia"/>
          <w:b/>
          <w:bCs/>
          <w:color w:val="000000"/>
          <w:sz w:val="24"/>
          <w:szCs w:val="24"/>
        </w:rPr>
        <w:t>预测</w:t>
      </w:r>
      <w:proofErr w:type="gramEnd"/>
      <w:r w:rsidRPr="001008B4">
        <w:rPr>
          <w:rFonts w:ascii="宋体" w:eastAsia="宋体" w:hAnsi="宋体" w:cs="宋体" w:hint="eastAsia"/>
          <w:b/>
          <w:bCs/>
          <w:color w:val="000000"/>
          <w:sz w:val="24"/>
          <w:szCs w:val="24"/>
        </w:rPr>
        <w:t>评分</w:t>
      </w:r>
      <w:r w:rsidR="00E236F0" w:rsidRPr="001008B4">
        <w:rPr>
          <w:rFonts w:ascii="宋体" w:eastAsia="宋体" w:hAnsi="宋体" w:cs="宋体" w:hint="eastAsia"/>
          <w:b/>
          <w:bCs/>
          <w:color w:val="000000"/>
          <w:sz w:val="24"/>
          <w:szCs w:val="24"/>
        </w:rPr>
        <w:t>系统</w:t>
      </w:r>
    </w:p>
    <w:p w14:paraId="3569ECC4" w14:textId="77777777" w:rsidR="009211BE" w:rsidRDefault="00CB32B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在多变量分析中，显著预测神经系统预后不良的因素包括：年龄大于65岁，初始SOFA评分大于13分，</w:t>
      </w:r>
      <w:r w:rsidRPr="00EB4466">
        <w:rPr>
          <w:rFonts w:ascii="宋体" w:eastAsia="宋体" w:hAnsi="宋体" w:cs="宋体" w:hint="eastAsia"/>
          <w:color w:val="000000"/>
          <w:sz w:val="24"/>
          <w:szCs w:val="24"/>
        </w:rPr>
        <w:t>首次监测到停搏节律</w:t>
      </w:r>
      <w:r w:rsidRPr="00BF5A0F">
        <w:rPr>
          <w:rFonts w:ascii="宋体" w:eastAsia="宋体" w:hAnsi="宋体" w:cs="宋体" w:hint="eastAsia"/>
          <w:color w:val="000000"/>
          <w:sz w:val="24"/>
          <w:szCs w:val="24"/>
        </w:rPr>
        <w:t>，</w:t>
      </w:r>
      <w:r>
        <w:rPr>
          <w:rFonts w:ascii="宋体" w:eastAsia="宋体" w:hAnsi="宋体" w:cs="宋体" w:hint="eastAsia"/>
          <w:color w:val="000000"/>
          <w:sz w:val="24"/>
          <w:szCs w:val="24"/>
        </w:rPr>
        <w:t>CPR至ECMO启动时间长于30分钟，初始脉压小于25 mmHg，初始MAP小于70 mmHg，血糖值大于300 mg/dL(补充表1)。基于这些预测因素和根据年龄与CPR至ECMO的启动时间，我们建立了一个新的预后评分系统，如表3所示。根据ROC曲线分析中曲线下面积(C统计量，0.867；95%可信区间，0.823~0.912)和良好的模型拟合(</w:t>
      </w:r>
      <w:proofErr w:type="spellStart"/>
      <w:r>
        <w:rPr>
          <w:rFonts w:ascii="宋体" w:eastAsia="宋体" w:hAnsi="宋体" w:cs="宋体" w:hint="eastAsia"/>
          <w:color w:val="000000"/>
          <w:sz w:val="24"/>
          <w:szCs w:val="24"/>
        </w:rPr>
        <w:t>Osius-Rojek</w:t>
      </w:r>
      <w:proofErr w:type="spellEnd"/>
      <w:r>
        <w:rPr>
          <w:rFonts w:ascii="宋体" w:eastAsia="宋体" w:hAnsi="宋体" w:cs="宋体" w:hint="eastAsia"/>
          <w:color w:val="000000"/>
          <w:sz w:val="24"/>
          <w:szCs w:val="24"/>
        </w:rPr>
        <w:t>检验统计量=-0.17，p=0.865；Hosmer-</w:t>
      </w:r>
      <w:proofErr w:type="spellStart"/>
      <w:r>
        <w:rPr>
          <w:rFonts w:ascii="宋体" w:eastAsia="宋体" w:hAnsi="宋体" w:cs="宋体" w:hint="eastAsia"/>
          <w:color w:val="000000"/>
          <w:sz w:val="24"/>
          <w:szCs w:val="24"/>
        </w:rPr>
        <w:t>Lemeshowc</w:t>
      </w:r>
      <w:proofErr w:type="spellEnd"/>
      <w:r>
        <w:rPr>
          <w:rFonts w:ascii="宋体" w:eastAsia="宋体" w:hAnsi="宋体" w:cs="宋体" w:hint="eastAsia"/>
          <w:color w:val="000000"/>
          <w:sz w:val="24"/>
          <w:szCs w:val="24"/>
        </w:rPr>
        <w:t xml:space="preserve"> χ</w:t>
      </w:r>
      <w:r>
        <w:rPr>
          <w:rFonts w:ascii="宋体" w:eastAsia="宋体" w:hAnsi="宋体" w:cs="宋体" w:hint="eastAsia"/>
          <w:color w:val="000000"/>
          <w:sz w:val="24"/>
          <w:szCs w:val="24"/>
          <w:vertAlign w:val="superscript"/>
        </w:rPr>
        <w:t>2</w:t>
      </w:r>
      <w:r>
        <w:rPr>
          <w:rFonts w:ascii="宋体" w:eastAsia="宋体" w:hAnsi="宋体" w:cs="宋体" w:hint="eastAsia"/>
          <w:color w:val="000000"/>
          <w:sz w:val="24"/>
          <w:szCs w:val="24"/>
        </w:rPr>
        <w:t>=3.258，df=8，p=0.917)。与既往</w:t>
      </w:r>
      <w:r>
        <w:rPr>
          <w:rFonts w:ascii="宋体" w:eastAsia="宋体" w:hAnsi="宋体" w:cs="宋体" w:hint="eastAsia"/>
          <w:color w:val="000000"/>
          <w:sz w:val="24"/>
          <w:szCs w:val="24"/>
        </w:rPr>
        <w:lastRenderedPageBreak/>
        <w:t>的评分系统(如ECPR或SAVE)相比，</w:t>
      </w:r>
      <w:proofErr w:type="spellStart"/>
      <w:r>
        <w:rPr>
          <w:rFonts w:ascii="宋体" w:eastAsia="宋体" w:hAnsi="宋体" w:cs="宋体" w:hint="eastAsia"/>
          <w:color w:val="000000"/>
          <w:sz w:val="24"/>
          <w:szCs w:val="24"/>
        </w:rPr>
        <w:t>nECPR</w:t>
      </w:r>
      <w:proofErr w:type="spellEnd"/>
      <w:r>
        <w:rPr>
          <w:rFonts w:ascii="宋体" w:eastAsia="宋体" w:hAnsi="宋体" w:cs="宋体" w:hint="eastAsia"/>
          <w:color w:val="000000"/>
          <w:sz w:val="24"/>
          <w:szCs w:val="24"/>
        </w:rPr>
        <w:t>评分在本研究人群中具有最高的预测能力(</w:t>
      </w:r>
      <w:proofErr w:type="spellStart"/>
      <w:r>
        <w:rPr>
          <w:rFonts w:ascii="宋体" w:eastAsia="宋体" w:hAnsi="宋体" w:cs="宋体" w:hint="eastAsia"/>
          <w:color w:val="000000"/>
          <w:sz w:val="24"/>
          <w:szCs w:val="24"/>
        </w:rPr>
        <w:t>nECPR</w:t>
      </w:r>
      <w:proofErr w:type="spellEnd"/>
      <w:r>
        <w:rPr>
          <w:rFonts w:ascii="宋体" w:eastAsia="宋体" w:hAnsi="宋体" w:cs="宋体" w:hint="eastAsia"/>
          <w:color w:val="000000"/>
          <w:sz w:val="24"/>
          <w:szCs w:val="24"/>
        </w:rPr>
        <w:t>评分与ECPR评分的C检验对比，0.881 vs 0.822，p=0.019；</w:t>
      </w:r>
      <w:proofErr w:type="spellStart"/>
      <w:r>
        <w:rPr>
          <w:rFonts w:ascii="宋体" w:eastAsia="宋体" w:hAnsi="宋体" w:cs="宋体" w:hint="eastAsia"/>
          <w:color w:val="000000"/>
          <w:sz w:val="24"/>
          <w:szCs w:val="24"/>
        </w:rPr>
        <w:t>nECPR</w:t>
      </w:r>
      <w:proofErr w:type="spellEnd"/>
      <w:r>
        <w:rPr>
          <w:rFonts w:ascii="宋体" w:eastAsia="宋体" w:hAnsi="宋体" w:cs="宋体" w:hint="eastAsia"/>
          <w:color w:val="000000"/>
          <w:sz w:val="24"/>
          <w:szCs w:val="24"/>
        </w:rPr>
        <w:t>评分与SAVE评分相比，0.881 vs 0.655，p&lt;0.001)(图3)。对用于内部验证的</w:t>
      </w:r>
      <w:proofErr w:type="spellStart"/>
      <w:r>
        <w:rPr>
          <w:rFonts w:ascii="宋体" w:eastAsia="宋体" w:hAnsi="宋体" w:cs="宋体" w:hint="eastAsia"/>
          <w:color w:val="000000"/>
          <w:sz w:val="24"/>
          <w:szCs w:val="24"/>
        </w:rPr>
        <w:t>nECPR</w:t>
      </w:r>
      <w:proofErr w:type="spellEnd"/>
      <w:r>
        <w:rPr>
          <w:rFonts w:ascii="宋体" w:eastAsia="宋体" w:hAnsi="宋体" w:cs="宋体" w:hint="eastAsia"/>
          <w:color w:val="000000"/>
          <w:sz w:val="24"/>
          <w:szCs w:val="24"/>
        </w:rPr>
        <w:t>评分的LOOCV分析显示，神经系统预后不良的误判错误率最低，为13%，而ECPR和SAVE的误判错误率分别为22%和38%。此外，在校准图中，</w:t>
      </w:r>
      <w:proofErr w:type="spellStart"/>
      <w:r>
        <w:rPr>
          <w:rFonts w:ascii="宋体" w:eastAsia="宋体" w:hAnsi="宋体" w:cs="宋体" w:hint="eastAsia"/>
          <w:color w:val="000000"/>
          <w:sz w:val="24"/>
          <w:szCs w:val="24"/>
        </w:rPr>
        <w:t>nECPR</w:t>
      </w:r>
      <w:proofErr w:type="spellEnd"/>
      <w:r>
        <w:rPr>
          <w:rFonts w:ascii="宋体" w:eastAsia="宋体" w:hAnsi="宋体" w:cs="宋体" w:hint="eastAsia"/>
          <w:color w:val="000000"/>
          <w:sz w:val="24"/>
          <w:szCs w:val="24"/>
        </w:rPr>
        <w:t>得分具有最好的预测能力。对于神经预后不良与其预测的一致性评价中，</w:t>
      </w:r>
      <w:proofErr w:type="spellStart"/>
      <w:r>
        <w:rPr>
          <w:rFonts w:ascii="宋体" w:eastAsia="宋体" w:hAnsi="宋体" w:cs="宋体" w:hint="eastAsia"/>
          <w:color w:val="000000"/>
          <w:sz w:val="24"/>
          <w:szCs w:val="24"/>
        </w:rPr>
        <w:t>nECPR</w:t>
      </w:r>
      <w:proofErr w:type="spellEnd"/>
      <w:r>
        <w:rPr>
          <w:rFonts w:ascii="宋体" w:eastAsia="宋体" w:hAnsi="宋体" w:cs="宋体" w:hint="eastAsia"/>
          <w:color w:val="000000"/>
          <w:sz w:val="24"/>
          <w:szCs w:val="24"/>
        </w:rPr>
        <w:t>评分优于ECPR或SAVE评分(图4)。</w:t>
      </w:r>
    </w:p>
    <w:p w14:paraId="3BACEE13" w14:textId="77777777" w:rsidR="009211BE" w:rsidRDefault="009211BE">
      <w:pPr>
        <w:spacing w:line="360" w:lineRule="auto"/>
        <w:rPr>
          <w:rFonts w:ascii="宋体" w:eastAsia="宋体" w:hAnsi="宋体" w:cs="宋体"/>
          <w:color w:val="000000"/>
          <w:sz w:val="24"/>
          <w:szCs w:val="24"/>
        </w:rPr>
      </w:pPr>
    </w:p>
    <w:p w14:paraId="743624B1" w14:textId="101BC262" w:rsidR="009211BE" w:rsidRDefault="00CB32B0">
      <w:pPr>
        <w:spacing w:line="360" w:lineRule="auto"/>
        <w:rPr>
          <w:rFonts w:ascii="宋体" w:eastAsia="宋体" w:hAnsi="宋体" w:cs="宋体"/>
          <w:b/>
          <w:bCs/>
          <w:color w:val="000000"/>
          <w:sz w:val="24"/>
          <w:szCs w:val="24"/>
        </w:rPr>
      </w:pPr>
      <w:r>
        <w:rPr>
          <w:rFonts w:ascii="宋体" w:eastAsia="宋体" w:hAnsi="宋体" w:cs="宋体" w:hint="eastAsia"/>
          <w:b/>
          <w:bCs/>
          <w:color w:val="000000"/>
          <w:sz w:val="24"/>
          <w:szCs w:val="24"/>
        </w:rPr>
        <w:t>表3.ECPR后神经系统预后预测评分</w:t>
      </w:r>
      <w:r w:rsidR="00411222">
        <w:rPr>
          <w:rFonts w:ascii="宋体" w:eastAsia="宋体" w:hAnsi="宋体" w:cs="宋体" w:hint="eastAsia"/>
          <w:b/>
          <w:bCs/>
          <w:color w:val="000000"/>
          <w:sz w:val="24"/>
          <w:szCs w:val="24"/>
        </w:rPr>
        <w:t>系统</w:t>
      </w:r>
    </w:p>
    <w:tbl>
      <w:tblPr>
        <w:tblStyle w:val="TableGrid"/>
        <w:tblW w:w="7656" w:type="dxa"/>
        <w:tblInd w:w="0" w:type="dxa"/>
        <w:tblLayout w:type="fixed"/>
        <w:tblCellMar>
          <w:bottom w:w="34" w:type="dxa"/>
        </w:tblCellMar>
        <w:tblLook w:val="04A0" w:firstRow="1" w:lastRow="0" w:firstColumn="1" w:lastColumn="0" w:noHBand="0" w:noVBand="1"/>
      </w:tblPr>
      <w:tblGrid>
        <w:gridCol w:w="3969"/>
        <w:gridCol w:w="993"/>
        <w:gridCol w:w="993"/>
        <w:gridCol w:w="1701"/>
      </w:tblGrid>
      <w:tr w:rsidR="00411222" w14:paraId="2BC295E4" w14:textId="77777777" w:rsidTr="001008B4">
        <w:trPr>
          <w:trHeight w:val="345"/>
        </w:trPr>
        <w:tc>
          <w:tcPr>
            <w:tcW w:w="3969" w:type="dxa"/>
            <w:tcBorders>
              <w:top w:val="single" w:sz="4" w:space="0" w:color="000000"/>
              <w:left w:val="nil"/>
              <w:bottom w:val="single" w:sz="4" w:space="0" w:color="auto"/>
              <w:right w:val="nil"/>
            </w:tcBorders>
            <w:vAlign w:val="center"/>
          </w:tcPr>
          <w:p w14:paraId="5C2A99AD" w14:textId="77777777" w:rsidR="00411222" w:rsidRDefault="00411222">
            <w:pPr>
              <w:spacing w:line="360" w:lineRule="auto"/>
              <w:rPr>
                <w:rFonts w:ascii="宋体" w:eastAsia="宋体" w:hAnsi="宋体" w:cs="宋体"/>
                <w:sz w:val="24"/>
                <w:szCs w:val="24"/>
              </w:rPr>
            </w:pPr>
            <w:r>
              <w:rPr>
                <w:rFonts w:ascii="宋体" w:eastAsia="宋体" w:hAnsi="宋体" w:cs="宋体" w:hint="eastAsia"/>
                <w:sz w:val="24"/>
                <w:szCs w:val="24"/>
              </w:rPr>
              <w:t>因素</w:t>
            </w:r>
          </w:p>
        </w:tc>
        <w:tc>
          <w:tcPr>
            <w:tcW w:w="993" w:type="dxa"/>
            <w:tcBorders>
              <w:top w:val="single" w:sz="4" w:space="0" w:color="000000"/>
              <w:left w:val="nil"/>
              <w:bottom w:val="single" w:sz="4" w:space="0" w:color="auto"/>
              <w:right w:val="nil"/>
            </w:tcBorders>
          </w:tcPr>
          <w:p w14:paraId="63846D07" w14:textId="77777777" w:rsidR="00411222" w:rsidRDefault="00411222">
            <w:pPr>
              <w:spacing w:line="360" w:lineRule="auto"/>
              <w:jc w:val="center"/>
              <w:rPr>
                <w:rFonts w:ascii="宋体" w:eastAsia="宋体" w:hAnsi="宋体" w:cs="宋体"/>
                <w:sz w:val="24"/>
                <w:szCs w:val="24"/>
              </w:rPr>
            </w:pPr>
          </w:p>
        </w:tc>
        <w:tc>
          <w:tcPr>
            <w:tcW w:w="993" w:type="dxa"/>
            <w:tcBorders>
              <w:top w:val="single" w:sz="4" w:space="0" w:color="000000"/>
              <w:left w:val="nil"/>
              <w:bottom w:val="single" w:sz="4" w:space="0" w:color="auto"/>
              <w:right w:val="nil"/>
            </w:tcBorders>
            <w:vAlign w:val="center"/>
          </w:tcPr>
          <w:p w14:paraId="695679F5" w14:textId="1DB5D3A0" w:rsidR="00411222" w:rsidRDefault="00411222">
            <w:pPr>
              <w:spacing w:line="360" w:lineRule="auto"/>
              <w:jc w:val="center"/>
              <w:rPr>
                <w:rFonts w:ascii="宋体" w:eastAsia="宋体" w:hAnsi="宋体" w:cs="宋体"/>
                <w:sz w:val="24"/>
                <w:szCs w:val="24"/>
              </w:rPr>
            </w:pPr>
            <w:r>
              <w:rPr>
                <w:rFonts w:ascii="宋体" w:eastAsia="宋体" w:hAnsi="宋体" w:cs="宋体" w:hint="eastAsia"/>
                <w:sz w:val="24"/>
                <w:szCs w:val="24"/>
              </w:rPr>
              <w:t>最终得分a</w:t>
            </w:r>
          </w:p>
        </w:tc>
        <w:tc>
          <w:tcPr>
            <w:tcW w:w="1701" w:type="dxa"/>
            <w:tcBorders>
              <w:top w:val="single" w:sz="4" w:space="0" w:color="000000"/>
              <w:left w:val="nil"/>
              <w:bottom w:val="single" w:sz="4" w:space="0" w:color="auto"/>
              <w:right w:val="nil"/>
            </w:tcBorders>
            <w:vAlign w:val="center"/>
          </w:tcPr>
          <w:p w14:paraId="35918C5D" w14:textId="77777777" w:rsidR="00411222" w:rsidRDefault="00411222">
            <w:pPr>
              <w:spacing w:line="360" w:lineRule="auto"/>
              <w:jc w:val="center"/>
              <w:rPr>
                <w:rFonts w:ascii="宋体" w:eastAsia="宋体" w:hAnsi="宋体" w:cs="宋体"/>
                <w:sz w:val="24"/>
                <w:szCs w:val="24"/>
              </w:rPr>
            </w:pPr>
            <w:r>
              <w:rPr>
                <w:rFonts w:ascii="宋体" w:eastAsia="宋体" w:hAnsi="宋体" w:cs="宋体" w:hint="eastAsia"/>
                <w:sz w:val="24"/>
                <w:szCs w:val="24"/>
              </w:rPr>
              <w:t>z分数</w:t>
            </w:r>
          </w:p>
        </w:tc>
      </w:tr>
      <w:tr w:rsidR="00411222" w14:paraId="3EF03AD6" w14:textId="77777777" w:rsidTr="001008B4">
        <w:trPr>
          <w:trHeight w:val="227"/>
        </w:trPr>
        <w:tc>
          <w:tcPr>
            <w:tcW w:w="3969" w:type="dxa"/>
            <w:tcBorders>
              <w:top w:val="single" w:sz="4" w:space="0" w:color="auto"/>
              <w:left w:val="nil"/>
              <w:right w:val="nil"/>
            </w:tcBorders>
            <w:vAlign w:val="center"/>
          </w:tcPr>
          <w:p w14:paraId="62FD17F4" w14:textId="77777777" w:rsidR="00411222" w:rsidRDefault="00411222">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临床因素</w:t>
            </w:r>
          </w:p>
        </w:tc>
        <w:tc>
          <w:tcPr>
            <w:tcW w:w="993" w:type="dxa"/>
            <w:tcBorders>
              <w:top w:val="single" w:sz="4" w:space="0" w:color="auto"/>
              <w:left w:val="nil"/>
              <w:right w:val="nil"/>
            </w:tcBorders>
          </w:tcPr>
          <w:p w14:paraId="39C18425"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c>
          <w:tcPr>
            <w:tcW w:w="993" w:type="dxa"/>
            <w:tcBorders>
              <w:top w:val="single" w:sz="4" w:space="0" w:color="auto"/>
              <w:left w:val="nil"/>
              <w:right w:val="nil"/>
            </w:tcBorders>
            <w:vAlign w:val="center"/>
          </w:tcPr>
          <w:p w14:paraId="228CDA76" w14:textId="6A577F74"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c>
          <w:tcPr>
            <w:tcW w:w="1701" w:type="dxa"/>
            <w:tcBorders>
              <w:top w:val="single" w:sz="4" w:space="0" w:color="auto"/>
              <w:left w:val="nil"/>
              <w:right w:val="nil"/>
            </w:tcBorders>
            <w:vAlign w:val="center"/>
          </w:tcPr>
          <w:p w14:paraId="10A5AD26"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r>
      <w:tr w:rsidR="00411222" w14:paraId="279F6C82" w14:textId="77777777" w:rsidTr="001008B4">
        <w:trPr>
          <w:trHeight w:val="227"/>
        </w:trPr>
        <w:tc>
          <w:tcPr>
            <w:tcW w:w="3969" w:type="dxa"/>
            <w:tcBorders>
              <w:left w:val="nil"/>
              <w:bottom w:val="nil"/>
              <w:right w:val="nil"/>
            </w:tcBorders>
            <w:vAlign w:val="center"/>
          </w:tcPr>
          <w:p w14:paraId="210DE7C7" w14:textId="77777777" w:rsidR="00411222" w:rsidRDefault="00411222">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SOFA评分&gt; 13分</w:t>
            </w:r>
          </w:p>
        </w:tc>
        <w:tc>
          <w:tcPr>
            <w:tcW w:w="993" w:type="dxa"/>
            <w:tcBorders>
              <w:left w:val="nil"/>
              <w:bottom w:val="nil"/>
              <w:right w:val="nil"/>
            </w:tcBorders>
          </w:tcPr>
          <w:p w14:paraId="5E7998B7"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c>
          <w:tcPr>
            <w:tcW w:w="993" w:type="dxa"/>
            <w:tcBorders>
              <w:left w:val="nil"/>
              <w:bottom w:val="nil"/>
              <w:right w:val="nil"/>
            </w:tcBorders>
            <w:vAlign w:val="center"/>
          </w:tcPr>
          <w:p w14:paraId="2D819470" w14:textId="4FF754B6"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8.9</w:t>
            </w:r>
          </w:p>
        </w:tc>
        <w:tc>
          <w:tcPr>
            <w:tcW w:w="1701" w:type="dxa"/>
            <w:tcBorders>
              <w:left w:val="nil"/>
              <w:bottom w:val="nil"/>
              <w:right w:val="nil"/>
            </w:tcBorders>
            <w:vAlign w:val="center"/>
          </w:tcPr>
          <w:p w14:paraId="5F2849AD"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3.092</w:t>
            </w:r>
          </w:p>
        </w:tc>
      </w:tr>
      <w:tr w:rsidR="00411222" w14:paraId="36056502" w14:textId="77777777" w:rsidTr="001008B4">
        <w:trPr>
          <w:trHeight w:val="227"/>
        </w:trPr>
        <w:tc>
          <w:tcPr>
            <w:tcW w:w="3969" w:type="dxa"/>
            <w:tcBorders>
              <w:top w:val="nil"/>
              <w:left w:val="nil"/>
              <w:bottom w:val="nil"/>
              <w:right w:val="nil"/>
            </w:tcBorders>
            <w:vAlign w:val="center"/>
          </w:tcPr>
          <w:p w14:paraId="43781D98" w14:textId="77777777" w:rsidR="00411222" w:rsidRPr="001008B4" w:rsidRDefault="00411222">
            <w:pPr>
              <w:widowControl/>
              <w:spacing w:line="360" w:lineRule="auto"/>
              <w:rPr>
                <w:rFonts w:ascii="宋体" w:eastAsia="宋体" w:hAnsi="宋体" w:cs="宋体"/>
                <w:color w:val="000000"/>
                <w:kern w:val="0"/>
                <w:sz w:val="24"/>
                <w:szCs w:val="24"/>
              </w:rPr>
            </w:pPr>
            <w:r w:rsidRPr="00EB4466">
              <w:rPr>
                <w:rFonts w:ascii="宋体" w:eastAsia="宋体" w:hAnsi="宋体" w:cs="宋体" w:hint="eastAsia"/>
                <w:color w:val="000000"/>
                <w:kern w:val="0"/>
                <w:sz w:val="24"/>
                <w:szCs w:val="24"/>
              </w:rPr>
              <w:t>与心跳骤停相关的因素</w:t>
            </w:r>
          </w:p>
          <w:p w14:paraId="2A1277F7" w14:textId="2395B14C" w:rsidR="00411222" w:rsidRDefault="00411222">
            <w:pPr>
              <w:widowControl/>
              <w:spacing w:line="360" w:lineRule="auto"/>
              <w:rPr>
                <w:rFonts w:ascii="宋体" w:eastAsia="宋体" w:hAnsi="宋体" w:cs="宋体"/>
                <w:color w:val="000000"/>
                <w:kern w:val="0"/>
                <w:sz w:val="24"/>
                <w:szCs w:val="24"/>
              </w:rPr>
            </w:pPr>
            <w:r w:rsidRPr="001008B4">
              <w:rPr>
                <w:rFonts w:ascii="宋体" w:eastAsia="宋体" w:hAnsi="宋体" w:cs="宋体" w:hint="eastAsia"/>
                <w:color w:val="000000"/>
                <w:kern w:val="0"/>
                <w:sz w:val="24"/>
                <w:szCs w:val="24"/>
              </w:rPr>
              <w:t>心脏停搏</w:t>
            </w:r>
            <w:r w:rsidRPr="00EB4466">
              <w:rPr>
                <w:rFonts w:ascii="宋体" w:eastAsia="宋体" w:hAnsi="宋体" w:cs="宋体"/>
                <w:color w:val="000000"/>
                <w:kern w:val="0"/>
                <w:sz w:val="24"/>
                <w:szCs w:val="24"/>
              </w:rPr>
              <w:t>(首次监测节律</w:t>
            </w:r>
            <w:r w:rsidRPr="00B039F7">
              <w:rPr>
                <w:rFonts w:ascii="宋体" w:eastAsia="宋体" w:hAnsi="宋体" w:cs="宋体"/>
                <w:color w:val="000000"/>
                <w:kern w:val="0"/>
                <w:sz w:val="24"/>
                <w:szCs w:val="24"/>
              </w:rPr>
              <w:t>)</w:t>
            </w:r>
          </w:p>
        </w:tc>
        <w:tc>
          <w:tcPr>
            <w:tcW w:w="993" w:type="dxa"/>
            <w:tcBorders>
              <w:top w:val="nil"/>
              <w:left w:val="nil"/>
              <w:bottom w:val="nil"/>
              <w:right w:val="nil"/>
            </w:tcBorders>
          </w:tcPr>
          <w:p w14:paraId="50EB1DA3"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c>
          <w:tcPr>
            <w:tcW w:w="993" w:type="dxa"/>
            <w:tcBorders>
              <w:top w:val="nil"/>
              <w:left w:val="nil"/>
              <w:bottom w:val="nil"/>
              <w:right w:val="nil"/>
            </w:tcBorders>
            <w:vAlign w:val="center"/>
          </w:tcPr>
          <w:p w14:paraId="2191162D" w14:textId="79E49312"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6.8</w:t>
            </w:r>
          </w:p>
        </w:tc>
        <w:tc>
          <w:tcPr>
            <w:tcW w:w="1701" w:type="dxa"/>
            <w:tcBorders>
              <w:top w:val="nil"/>
              <w:left w:val="nil"/>
              <w:bottom w:val="nil"/>
              <w:right w:val="nil"/>
            </w:tcBorders>
            <w:vAlign w:val="center"/>
          </w:tcPr>
          <w:p w14:paraId="560C6ED9"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2.382</w:t>
            </w:r>
          </w:p>
        </w:tc>
      </w:tr>
      <w:tr w:rsidR="00411222" w14:paraId="10370990" w14:textId="77777777" w:rsidTr="001008B4">
        <w:trPr>
          <w:trHeight w:val="227"/>
        </w:trPr>
        <w:tc>
          <w:tcPr>
            <w:tcW w:w="3969" w:type="dxa"/>
            <w:tcBorders>
              <w:top w:val="nil"/>
              <w:left w:val="nil"/>
              <w:bottom w:val="nil"/>
              <w:right w:val="nil"/>
            </w:tcBorders>
            <w:vAlign w:val="center"/>
          </w:tcPr>
          <w:p w14:paraId="0800BFF8" w14:textId="77777777" w:rsidR="00411222" w:rsidRDefault="00411222">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ECMO后初始动脉脉压&lt; 25 mm Hg</w:t>
            </w:r>
          </w:p>
        </w:tc>
        <w:tc>
          <w:tcPr>
            <w:tcW w:w="993" w:type="dxa"/>
            <w:tcBorders>
              <w:top w:val="nil"/>
              <w:left w:val="nil"/>
              <w:bottom w:val="nil"/>
              <w:right w:val="nil"/>
            </w:tcBorders>
          </w:tcPr>
          <w:p w14:paraId="417F6B3D"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c>
          <w:tcPr>
            <w:tcW w:w="993" w:type="dxa"/>
            <w:tcBorders>
              <w:top w:val="nil"/>
              <w:left w:val="nil"/>
              <w:bottom w:val="nil"/>
              <w:right w:val="nil"/>
            </w:tcBorders>
            <w:vAlign w:val="center"/>
          </w:tcPr>
          <w:p w14:paraId="1FD13016" w14:textId="66DCD90B"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13.1</w:t>
            </w:r>
          </w:p>
        </w:tc>
        <w:tc>
          <w:tcPr>
            <w:tcW w:w="1701" w:type="dxa"/>
            <w:tcBorders>
              <w:top w:val="nil"/>
              <w:left w:val="nil"/>
              <w:bottom w:val="nil"/>
              <w:right w:val="nil"/>
            </w:tcBorders>
            <w:vAlign w:val="center"/>
          </w:tcPr>
          <w:p w14:paraId="372E8F2A"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4.579</w:t>
            </w:r>
          </w:p>
        </w:tc>
      </w:tr>
      <w:tr w:rsidR="00411222" w14:paraId="69BDD485" w14:textId="77777777" w:rsidTr="001008B4">
        <w:trPr>
          <w:trHeight w:val="227"/>
        </w:trPr>
        <w:tc>
          <w:tcPr>
            <w:tcW w:w="3969" w:type="dxa"/>
            <w:tcBorders>
              <w:top w:val="nil"/>
              <w:left w:val="nil"/>
              <w:bottom w:val="nil"/>
              <w:right w:val="nil"/>
            </w:tcBorders>
            <w:vAlign w:val="center"/>
          </w:tcPr>
          <w:p w14:paraId="2A76A1D8" w14:textId="5DCE3630" w:rsidR="00411222" w:rsidRDefault="00411222">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ECMO</w:t>
            </w:r>
            <w:r w:rsidRPr="00EB4466">
              <w:rPr>
                <w:rFonts w:ascii="宋体" w:eastAsia="宋体" w:hAnsi="宋体" w:cs="宋体" w:hint="eastAsia"/>
                <w:color w:val="000000"/>
                <w:kern w:val="0"/>
                <w:sz w:val="24"/>
                <w:szCs w:val="24"/>
              </w:rPr>
              <w:t>后初</w:t>
            </w:r>
            <w:r>
              <w:rPr>
                <w:rFonts w:ascii="宋体" w:eastAsia="宋体" w:hAnsi="宋体" w:cs="宋体" w:hint="eastAsia"/>
                <w:color w:val="000000"/>
                <w:kern w:val="0"/>
                <w:sz w:val="24"/>
                <w:szCs w:val="24"/>
              </w:rPr>
              <w:t>始MAP &lt;70 mm Hg</w:t>
            </w:r>
          </w:p>
        </w:tc>
        <w:tc>
          <w:tcPr>
            <w:tcW w:w="993" w:type="dxa"/>
            <w:tcBorders>
              <w:top w:val="nil"/>
              <w:left w:val="nil"/>
              <w:bottom w:val="nil"/>
              <w:right w:val="nil"/>
            </w:tcBorders>
          </w:tcPr>
          <w:p w14:paraId="0A57D436"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c>
          <w:tcPr>
            <w:tcW w:w="993" w:type="dxa"/>
            <w:tcBorders>
              <w:top w:val="nil"/>
              <w:left w:val="nil"/>
              <w:bottom w:val="nil"/>
              <w:right w:val="nil"/>
            </w:tcBorders>
            <w:vAlign w:val="center"/>
          </w:tcPr>
          <w:p w14:paraId="242BAEB7" w14:textId="5041E0BF"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w:t>
            </w:r>
          </w:p>
        </w:tc>
        <w:tc>
          <w:tcPr>
            <w:tcW w:w="1701" w:type="dxa"/>
            <w:tcBorders>
              <w:top w:val="nil"/>
              <w:left w:val="nil"/>
              <w:bottom w:val="nil"/>
              <w:right w:val="nil"/>
            </w:tcBorders>
            <w:vAlign w:val="center"/>
          </w:tcPr>
          <w:p w14:paraId="3ADA74C1"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2.786</w:t>
            </w:r>
          </w:p>
        </w:tc>
      </w:tr>
      <w:tr w:rsidR="00411222" w14:paraId="0E50DF5F" w14:textId="77777777" w:rsidTr="001008B4">
        <w:trPr>
          <w:trHeight w:val="227"/>
        </w:trPr>
        <w:tc>
          <w:tcPr>
            <w:tcW w:w="3969" w:type="dxa"/>
            <w:tcBorders>
              <w:top w:val="nil"/>
              <w:left w:val="nil"/>
              <w:bottom w:val="nil"/>
              <w:right w:val="nil"/>
            </w:tcBorders>
            <w:vAlign w:val="center"/>
          </w:tcPr>
          <w:p w14:paraId="328EEC4D" w14:textId="77777777" w:rsidR="00411222" w:rsidRDefault="00411222">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检验指标</w:t>
            </w:r>
          </w:p>
        </w:tc>
        <w:tc>
          <w:tcPr>
            <w:tcW w:w="993" w:type="dxa"/>
            <w:tcBorders>
              <w:top w:val="nil"/>
              <w:left w:val="nil"/>
              <w:bottom w:val="nil"/>
              <w:right w:val="nil"/>
            </w:tcBorders>
          </w:tcPr>
          <w:p w14:paraId="280636BE"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c>
          <w:tcPr>
            <w:tcW w:w="993" w:type="dxa"/>
            <w:tcBorders>
              <w:top w:val="nil"/>
              <w:left w:val="nil"/>
              <w:bottom w:val="nil"/>
              <w:right w:val="nil"/>
            </w:tcBorders>
            <w:vAlign w:val="center"/>
          </w:tcPr>
          <w:p w14:paraId="300C14B9" w14:textId="6674C068"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c>
          <w:tcPr>
            <w:tcW w:w="1701" w:type="dxa"/>
            <w:tcBorders>
              <w:top w:val="nil"/>
              <w:left w:val="nil"/>
              <w:bottom w:val="nil"/>
              <w:right w:val="nil"/>
            </w:tcBorders>
            <w:vAlign w:val="center"/>
          </w:tcPr>
          <w:p w14:paraId="5A83D360"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r>
      <w:tr w:rsidR="00411222" w14:paraId="55EC0CB3" w14:textId="77777777" w:rsidTr="001008B4">
        <w:trPr>
          <w:trHeight w:val="227"/>
        </w:trPr>
        <w:tc>
          <w:tcPr>
            <w:tcW w:w="3969" w:type="dxa"/>
            <w:tcBorders>
              <w:top w:val="nil"/>
              <w:left w:val="nil"/>
              <w:bottom w:val="nil"/>
              <w:right w:val="nil"/>
            </w:tcBorders>
            <w:vAlign w:val="center"/>
          </w:tcPr>
          <w:p w14:paraId="4F95FCA7" w14:textId="77777777" w:rsidR="00411222" w:rsidRDefault="00411222">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葡萄糖&gt; 300 mg/dL</w:t>
            </w:r>
          </w:p>
        </w:tc>
        <w:tc>
          <w:tcPr>
            <w:tcW w:w="993" w:type="dxa"/>
            <w:tcBorders>
              <w:top w:val="nil"/>
              <w:left w:val="nil"/>
              <w:bottom w:val="nil"/>
              <w:right w:val="nil"/>
            </w:tcBorders>
          </w:tcPr>
          <w:p w14:paraId="629A9F53"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c>
          <w:tcPr>
            <w:tcW w:w="993" w:type="dxa"/>
            <w:tcBorders>
              <w:top w:val="nil"/>
              <w:left w:val="nil"/>
              <w:bottom w:val="nil"/>
              <w:right w:val="nil"/>
            </w:tcBorders>
            <w:vAlign w:val="center"/>
          </w:tcPr>
          <w:p w14:paraId="480A74E6" w14:textId="116ECC2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9.6</w:t>
            </w:r>
          </w:p>
        </w:tc>
        <w:tc>
          <w:tcPr>
            <w:tcW w:w="1701" w:type="dxa"/>
            <w:tcBorders>
              <w:top w:val="nil"/>
              <w:left w:val="nil"/>
              <w:bottom w:val="nil"/>
              <w:right w:val="nil"/>
            </w:tcBorders>
            <w:vAlign w:val="center"/>
          </w:tcPr>
          <w:p w14:paraId="54337A6A"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3.350</w:t>
            </w:r>
          </w:p>
        </w:tc>
      </w:tr>
      <w:tr w:rsidR="00411222" w14:paraId="7D9F523D" w14:textId="77777777" w:rsidTr="001008B4">
        <w:trPr>
          <w:trHeight w:val="227"/>
        </w:trPr>
        <w:tc>
          <w:tcPr>
            <w:tcW w:w="3969" w:type="dxa"/>
            <w:tcBorders>
              <w:top w:val="nil"/>
              <w:left w:val="nil"/>
              <w:bottom w:val="nil"/>
              <w:right w:val="nil"/>
            </w:tcBorders>
            <w:vAlign w:val="center"/>
          </w:tcPr>
          <w:p w14:paraId="5BB000D9" w14:textId="77777777" w:rsidR="00411222" w:rsidRDefault="00411222">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年龄与CPR至ECMO启动时间的关系</w:t>
            </w:r>
          </w:p>
        </w:tc>
        <w:tc>
          <w:tcPr>
            <w:tcW w:w="993" w:type="dxa"/>
            <w:tcBorders>
              <w:top w:val="nil"/>
              <w:left w:val="nil"/>
              <w:bottom w:val="nil"/>
              <w:right w:val="nil"/>
            </w:tcBorders>
          </w:tcPr>
          <w:p w14:paraId="6B9A148F"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c>
          <w:tcPr>
            <w:tcW w:w="993" w:type="dxa"/>
            <w:tcBorders>
              <w:top w:val="nil"/>
              <w:left w:val="nil"/>
              <w:bottom w:val="nil"/>
              <w:right w:val="nil"/>
            </w:tcBorders>
            <w:vAlign w:val="center"/>
          </w:tcPr>
          <w:p w14:paraId="0A1D6C29" w14:textId="60DF24F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c>
          <w:tcPr>
            <w:tcW w:w="1701" w:type="dxa"/>
            <w:tcBorders>
              <w:top w:val="nil"/>
              <w:left w:val="nil"/>
              <w:bottom w:val="nil"/>
              <w:right w:val="nil"/>
            </w:tcBorders>
            <w:vAlign w:val="center"/>
          </w:tcPr>
          <w:p w14:paraId="25CB26E1"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r>
      <w:tr w:rsidR="00411222" w14:paraId="4F9022D8" w14:textId="77777777" w:rsidTr="001008B4">
        <w:trPr>
          <w:trHeight w:val="227"/>
        </w:trPr>
        <w:tc>
          <w:tcPr>
            <w:tcW w:w="3969" w:type="dxa"/>
            <w:tcBorders>
              <w:top w:val="nil"/>
              <w:left w:val="nil"/>
              <w:bottom w:val="nil"/>
              <w:right w:val="nil"/>
            </w:tcBorders>
            <w:vAlign w:val="center"/>
          </w:tcPr>
          <w:p w14:paraId="6422D975" w14:textId="1D4B91FD" w:rsidR="00411222" w:rsidRDefault="00411222">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年龄在65岁以上，CPR 30分钟内启动ECMO</w:t>
            </w:r>
          </w:p>
        </w:tc>
        <w:tc>
          <w:tcPr>
            <w:tcW w:w="993" w:type="dxa"/>
            <w:tcBorders>
              <w:top w:val="nil"/>
              <w:left w:val="nil"/>
              <w:bottom w:val="nil"/>
              <w:right w:val="nil"/>
            </w:tcBorders>
          </w:tcPr>
          <w:p w14:paraId="396D2D86"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c>
          <w:tcPr>
            <w:tcW w:w="993" w:type="dxa"/>
            <w:tcBorders>
              <w:top w:val="nil"/>
              <w:left w:val="nil"/>
              <w:bottom w:val="nil"/>
              <w:right w:val="nil"/>
            </w:tcBorders>
            <w:vAlign w:val="center"/>
          </w:tcPr>
          <w:p w14:paraId="27FD3B8A" w14:textId="1113A352"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701" w:type="dxa"/>
            <w:tcBorders>
              <w:top w:val="nil"/>
              <w:left w:val="nil"/>
              <w:bottom w:val="nil"/>
              <w:right w:val="nil"/>
            </w:tcBorders>
            <w:vAlign w:val="center"/>
          </w:tcPr>
          <w:p w14:paraId="38E1F566"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411222" w14:paraId="1DC6F8A4" w14:textId="77777777" w:rsidTr="001008B4">
        <w:trPr>
          <w:trHeight w:val="227"/>
        </w:trPr>
        <w:tc>
          <w:tcPr>
            <w:tcW w:w="3969" w:type="dxa"/>
            <w:tcBorders>
              <w:top w:val="nil"/>
              <w:left w:val="nil"/>
              <w:bottom w:val="nil"/>
              <w:right w:val="nil"/>
            </w:tcBorders>
            <w:vAlign w:val="center"/>
          </w:tcPr>
          <w:p w14:paraId="67959BAC" w14:textId="7B481173" w:rsidR="00411222" w:rsidRDefault="00411222">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年龄65岁，</w:t>
            </w:r>
            <w:r w:rsidDel="002D04FB">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CPR &gt; 30分钟后启动ECMO</w:t>
            </w:r>
          </w:p>
        </w:tc>
        <w:tc>
          <w:tcPr>
            <w:tcW w:w="993" w:type="dxa"/>
            <w:tcBorders>
              <w:top w:val="nil"/>
              <w:left w:val="nil"/>
              <w:bottom w:val="nil"/>
              <w:right w:val="nil"/>
            </w:tcBorders>
          </w:tcPr>
          <w:p w14:paraId="1A23901B"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c>
          <w:tcPr>
            <w:tcW w:w="993" w:type="dxa"/>
            <w:tcBorders>
              <w:top w:val="nil"/>
              <w:left w:val="nil"/>
              <w:bottom w:val="nil"/>
              <w:right w:val="nil"/>
            </w:tcBorders>
            <w:vAlign w:val="center"/>
          </w:tcPr>
          <w:p w14:paraId="71820234" w14:textId="2C783204"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701" w:type="dxa"/>
            <w:tcBorders>
              <w:top w:val="nil"/>
              <w:left w:val="nil"/>
              <w:bottom w:val="nil"/>
              <w:right w:val="nil"/>
            </w:tcBorders>
            <w:vAlign w:val="center"/>
          </w:tcPr>
          <w:p w14:paraId="239B743C"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0.349</w:t>
            </w:r>
          </w:p>
        </w:tc>
      </w:tr>
      <w:tr w:rsidR="00411222" w14:paraId="6B97F138" w14:textId="77777777" w:rsidTr="001008B4">
        <w:trPr>
          <w:trHeight w:val="227"/>
        </w:trPr>
        <w:tc>
          <w:tcPr>
            <w:tcW w:w="3969" w:type="dxa"/>
            <w:tcBorders>
              <w:top w:val="nil"/>
              <w:left w:val="nil"/>
              <w:bottom w:val="single" w:sz="4" w:space="0" w:color="000000"/>
              <w:right w:val="nil"/>
            </w:tcBorders>
            <w:vAlign w:val="center"/>
          </w:tcPr>
          <w:p w14:paraId="753D730F" w14:textId="20827D66" w:rsidR="00411222" w:rsidRDefault="00411222">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年龄&gt; 65岁，</w:t>
            </w:r>
            <w:r w:rsidDel="002D04FB">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CPR 30分钟内启动E</w:t>
            </w:r>
            <w:r>
              <w:rPr>
                <w:rFonts w:ascii="宋体" w:eastAsia="宋体" w:hAnsi="宋体" w:cs="宋体"/>
                <w:color w:val="000000"/>
                <w:kern w:val="0"/>
                <w:sz w:val="24"/>
                <w:szCs w:val="24"/>
              </w:rPr>
              <w:t>CMO</w:t>
            </w:r>
          </w:p>
          <w:p w14:paraId="5173EB3A" w14:textId="3E8D2041" w:rsidR="00411222" w:rsidRDefault="00411222">
            <w:pPr>
              <w:widowControl/>
              <w:spacing w:line="360" w:lineRule="auto"/>
              <w:ind w:left="160"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年龄&gt; 65岁，CPR &gt; 30分钟后启动ECMO</w:t>
            </w:r>
          </w:p>
        </w:tc>
        <w:tc>
          <w:tcPr>
            <w:tcW w:w="993" w:type="dxa"/>
            <w:tcBorders>
              <w:top w:val="nil"/>
              <w:left w:val="nil"/>
              <w:bottom w:val="single" w:sz="4" w:space="0" w:color="000000"/>
              <w:right w:val="nil"/>
            </w:tcBorders>
          </w:tcPr>
          <w:p w14:paraId="28779F01"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p>
        </w:tc>
        <w:tc>
          <w:tcPr>
            <w:tcW w:w="993" w:type="dxa"/>
            <w:tcBorders>
              <w:top w:val="nil"/>
              <w:left w:val="nil"/>
              <w:bottom w:val="single" w:sz="4" w:space="0" w:color="000000"/>
              <w:right w:val="nil"/>
            </w:tcBorders>
            <w:vAlign w:val="center"/>
          </w:tcPr>
          <w:p w14:paraId="6713F5BF" w14:textId="615C2EAD"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p w14:paraId="03C78CE3"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11.9</w:t>
            </w:r>
          </w:p>
        </w:tc>
        <w:tc>
          <w:tcPr>
            <w:tcW w:w="1701" w:type="dxa"/>
            <w:tcBorders>
              <w:top w:val="nil"/>
              <w:left w:val="nil"/>
              <w:bottom w:val="single" w:sz="4" w:space="0" w:color="000000"/>
              <w:right w:val="nil"/>
            </w:tcBorders>
            <w:vAlign w:val="center"/>
          </w:tcPr>
          <w:p w14:paraId="1974948B"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0.539</w:t>
            </w:r>
          </w:p>
          <w:p w14:paraId="28735531" w14:textId="77777777" w:rsidR="00411222" w:rsidRDefault="00411222">
            <w:pPr>
              <w:widowControl/>
              <w:spacing w:line="360" w:lineRule="auto"/>
              <w:ind w:left="160" w:firstLineChars="100"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4.141</w:t>
            </w:r>
          </w:p>
        </w:tc>
      </w:tr>
    </w:tbl>
    <w:p w14:paraId="3F0DE8EE" w14:textId="77777777" w:rsidR="009211BE" w:rsidRDefault="00CB32B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a最终得分是通过将z分数列除以最小值0.349得到的。在不丢失任何信息或一</w:t>
      </w:r>
      <w:r>
        <w:rPr>
          <w:rFonts w:ascii="宋体" w:eastAsia="宋体" w:hAnsi="宋体" w:cs="宋体" w:hint="eastAsia"/>
          <w:color w:val="000000"/>
          <w:sz w:val="24"/>
          <w:szCs w:val="24"/>
        </w:rPr>
        <w:lastRenderedPageBreak/>
        <w:t>般的情况下，还可以将最终分数乘以10以获得基于整数的分数。</w:t>
      </w:r>
    </w:p>
    <w:p w14:paraId="13ADC868" w14:textId="471B405E" w:rsidR="009211BE" w:rsidRDefault="00CB32B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CPR=心肺复苏；ECMO=</w:t>
      </w:r>
      <w:r w:rsidR="00C3727A">
        <w:rPr>
          <w:rFonts w:ascii="宋体" w:eastAsia="宋体" w:hAnsi="宋体" w:cs="宋体" w:hint="eastAsia"/>
          <w:color w:val="000000"/>
          <w:sz w:val="24"/>
          <w:szCs w:val="24"/>
        </w:rPr>
        <w:t>体外膜氧合</w:t>
      </w:r>
      <w:r>
        <w:rPr>
          <w:rFonts w:ascii="宋体" w:eastAsia="宋体" w:hAnsi="宋体" w:cs="宋体" w:hint="eastAsia"/>
          <w:color w:val="000000"/>
          <w:sz w:val="24"/>
          <w:szCs w:val="24"/>
        </w:rPr>
        <w:t>；ECPR=体外心肺复苏；MAP=平均动脉压；SOFA=序贯器官衰竭评分</w:t>
      </w:r>
    </w:p>
    <w:p w14:paraId="0CEDFE5F" w14:textId="77777777" w:rsidR="009211BE" w:rsidRDefault="009211BE">
      <w:pPr>
        <w:spacing w:line="360" w:lineRule="auto"/>
        <w:rPr>
          <w:rFonts w:ascii="宋体" w:eastAsia="宋体" w:hAnsi="宋体" w:cs="宋体"/>
          <w:color w:val="000000"/>
          <w:sz w:val="24"/>
          <w:szCs w:val="24"/>
        </w:rPr>
      </w:pPr>
    </w:p>
    <w:p w14:paraId="21444C05" w14:textId="77777777" w:rsidR="009211BE" w:rsidRDefault="009211BE">
      <w:pPr>
        <w:spacing w:line="360" w:lineRule="auto"/>
        <w:rPr>
          <w:rFonts w:ascii="宋体" w:eastAsia="宋体" w:hAnsi="宋体" w:cs="宋体"/>
          <w:color w:val="000000"/>
          <w:sz w:val="24"/>
          <w:szCs w:val="24"/>
        </w:rPr>
      </w:pPr>
    </w:p>
    <w:p w14:paraId="5425168F" w14:textId="77777777" w:rsidR="009211BE" w:rsidRDefault="00CB32B0" w:rsidP="001008B4">
      <w:pPr>
        <w:spacing w:line="360" w:lineRule="auto"/>
        <w:jc w:val="center"/>
        <w:rPr>
          <w:rFonts w:ascii="宋体" w:eastAsia="宋体" w:hAnsi="宋体" w:cs="宋体"/>
          <w:color w:val="000000"/>
          <w:sz w:val="24"/>
          <w:szCs w:val="24"/>
        </w:rPr>
      </w:pPr>
      <w:r>
        <w:rPr>
          <w:rFonts w:ascii="宋体" w:eastAsia="宋体" w:hAnsi="宋体" w:cs="宋体" w:hint="eastAsia"/>
          <w:noProof/>
          <w:sz w:val="24"/>
          <w:szCs w:val="24"/>
        </w:rPr>
        <w:drawing>
          <wp:inline distT="0" distB="0" distL="0" distR="0" wp14:anchorId="25C7ADCC" wp14:editId="78634266">
            <wp:extent cx="2933700" cy="2952750"/>
            <wp:effectExtent l="0" t="0" r="0" b="0"/>
            <wp:docPr id="6" name="Picture 23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376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2933700" cy="2952750"/>
                    </a:xfrm>
                    <a:prstGeom prst="rect">
                      <a:avLst/>
                    </a:prstGeom>
                    <a:noFill/>
                    <a:ln>
                      <a:noFill/>
                    </a:ln>
                  </pic:spPr>
                </pic:pic>
              </a:graphicData>
            </a:graphic>
          </wp:inline>
        </w:drawing>
      </w:r>
    </w:p>
    <w:p w14:paraId="2DDF5560" w14:textId="077D54E5" w:rsidR="009211BE" w:rsidRDefault="00CB32B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图3.使用体外心肺复苏后的神经功能预后</w:t>
      </w:r>
      <w:r w:rsidR="00EB4466">
        <w:rPr>
          <w:rFonts w:ascii="宋体" w:eastAsia="宋体" w:hAnsi="宋体" w:cs="宋体" w:hint="eastAsia"/>
          <w:color w:val="000000"/>
          <w:sz w:val="24"/>
          <w:szCs w:val="24"/>
        </w:rPr>
        <w:t>评分（</w:t>
      </w:r>
      <w:proofErr w:type="spellStart"/>
      <w:r w:rsidR="00EB4466">
        <w:rPr>
          <w:rFonts w:ascii="宋体" w:eastAsia="宋体" w:hAnsi="宋体" w:cs="宋体" w:hint="eastAsia"/>
          <w:color w:val="000000"/>
          <w:sz w:val="24"/>
          <w:szCs w:val="24"/>
        </w:rPr>
        <w:t>nECPR</w:t>
      </w:r>
      <w:proofErr w:type="spellEnd"/>
      <w:r w:rsidR="00EB4466">
        <w:rPr>
          <w:rFonts w:ascii="宋体" w:eastAsia="宋体" w:hAnsi="宋体" w:cs="宋体" w:hint="eastAsia"/>
          <w:color w:val="000000"/>
          <w:sz w:val="24"/>
          <w:szCs w:val="24"/>
        </w:rPr>
        <w:t>）</w:t>
      </w:r>
      <w:r>
        <w:rPr>
          <w:rFonts w:ascii="宋体" w:eastAsia="宋体" w:hAnsi="宋体" w:cs="宋体" w:hint="eastAsia"/>
          <w:color w:val="000000"/>
          <w:sz w:val="24"/>
          <w:szCs w:val="24"/>
        </w:rPr>
        <w:t>、SAVE</w:t>
      </w:r>
      <w:r w:rsidR="00EB4466">
        <w:rPr>
          <w:rFonts w:ascii="宋体" w:eastAsia="宋体" w:hAnsi="宋体" w:cs="宋体" w:hint="eastAsia"/>
          <w:color w:val="000000"/>
          <w:sz w:val="24"/>
          <w:szCs w:val="24"/>
        </w:rPr>
        <w:t>评分</w:t>
      </w:r>
      <w:r>
        <w:rPr>
          <w:rFonts w:ascii="宋体" w:eastAsia="宋体" w:hAnsi="宋体" w:cs="宋体" w:hint="eastAsia"/>
          <w:color w:val="000000"/>
          <w:sz w:val="24"/>
          <w:szCs w:val="24"/>
        </w:rPr>
        <w:t>和体外心肺复苏</w:t>
      </w:r>
      <w:r w:rsidR="00EB4466">
        <w:rPr>
          <w:rFonts w:ascii="宋体" w:eastAsia="宋体" w:hAnsi="宋体" w:cs="宋体" w:hint="eastAsia"/>
          <w:color w:val="000000"/>
          <w:sz w:val="24"/>
          <w:szCs w:val="24"/>
        </w:rPr>
        <w:t>评分</w:t>
      </w:r>
      <w:r>
        <w:rPr>
          <w:rFonts w:ascii="宋体" w:eastAsia="宋体" w:hAnsi="宋体" w:cs="宋体" w:hint="eastAsia"/>
          <w:color w:val="000000"/>
          <w:sz w:val="24"/>
          <w:szCs w:val="24"/>
        </w:rPr>
        <w:t>（ECPR）预测神经系统预后不良结局的ROC曲线。</w:t>
      </w:r>
    </w:p>
    <w:p w14:paraId="6BDB0D27" w14:textId="77777777" w:rsidR="009211BE" w:rsidRDefault="009211BE">
      <w:pPr>
        <w:spacing w:line="360" w:lineRule="auto"/>
        <w:rPr>
          <w:rFonts w:ascii="宋体" w:eastAsia="宋体" w:hAnsi="宋体" w:cs="宋体"/>
          <w:color w:val="000000"/>
          <w:sz w:val="24"/>
          <w:szCs w:val="24"/>
        </w:rPr>
      </w:pPr>
    </w:p>
    <w:p w14:paraId="4D9483BC" w14:textId="77777777" w:rsidR="009211BE" w:rsidRDefault="009211BE">
      <w:pPr>
        <w:spacing w:line="360" w:lineRule="auto"/>
        <w:rPr>
          <w:rFonts w:ascii="宋体" w:eastAsia="宋体" w:hAnsi="宋体" w:cs="宋体"/>
          <w:color w:val="000000"/>
          <w:sz w:val="24"/>
          <w:szCs w:val="24"/>
        </w:rPr>
      </w:pPr>
    </w:p>
    <w:p w14:paraId="558E92CB" w14:textId="77777777" w:rsidR="009211BE" w:rsidRDefault="00CB32B0" w:rsidP="001008B4">
      <w:pPr>
        <w:spacing w:line="360" w:lineRule="auto"/>
        <w:jc w:val="center"/>
        <w:rPr>
          <w:rFonts w:ascii="宋体" w:eastAsia="宋体" w:hAnsi="宋体" w:cs="宋体"/>
          <w:color w:val="000000"/>
          <w:sz w:val="24"/>
          <w:szCs w:val="24"/>
        </w:rPr>
      </w:pPr>
      <w:r>
        <w:rPr>
          <w:rFonts w:ascii="宋体" w:eastAsia="宋体" w:hAnsi="宋体" w:cs="宋体" w:hint="eastAsia"/>
          <w:noProof/>
          <w:sz w:val="24"/>
          <w:szCs w:val="24"/>
        </w:rPr>
        <w:drawing>
          <wp:inline distT="0" distB="0" distL="0" distR="0" wp14:anchorId="12F73459" wp14:editId="30A00663">
            <wp:extent cx="2914650" cy="2695575"/>
            <wp:effectExtent l="0" t="0" r="0" b="9525"/>
            <wp:docPr id="7" name="Picture 2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376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914650" cy="2695575"/>
                    </a:xfrm>
                    <a:prstGeom prst="rect">
                      <a:avLst/>
                    </a:prstGeom>
                    <a:noFill/>
                    <a:ln>
                      <a:noFill/>
                    </a:ln>
                  </pic:spPr>
                </pic:pic>
              </a:graphicData>
            </a:graphic>
          </wp:inline>
        </w:drawing>
      </w:r>
    </w:p>
    <w:p w14:paraId="59A26B3B" w14:textId="78F3ABF3" w:rsidR="009211BE" w:rsidRDefault="00CB32B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图4.</w:t>
      </w:r>
      <w:r w:rsidR="008E663C" w:rsidDel="008E663C">
        <w:rPr>
          <w:rFonts w:ascii="宋体" w:eastAsia="宋体" w:hAnsi="宋体" w:cs="宋体" w:hint="eastAsia"/>
          <w:color w:val="000000"/>
          <w:sz w:val="24"/>
          <w:szCs w:val="24"/>
        </w:rPr>
        <w:t xml:space="preserve"> </w:t>
      </w:r>
      <w:proofErr w:type="spellStart"/>
      <w:r>
        <w:rPr>
          <w:rFonts w:ascii="宋体" w:eastAsia="宋体" w:hAnsi="宋体" w:cs="宋体" w:hint="eastAsia"/>
          <w:color w:val="000000"/>
          <w:sz w:val="24"/>
          <w:szCs w:val="24"/>
        </w:rPr>
        <w:t>nECPR</w:t>
      </w:r>
      <w:proofErr w:type="spellEnd"/>
      <w:r w:rsidR="008E663C">
        <w:rPr>
          <w:rFonts w:ascii="宋体" w:eastAsia="宋体" w:hAnsi="宋体" w:cs="宋体" w:hint="eastAsia"/>
          <w:color w:val="000000"/>
          <w:sz w:val="24"/>
          <w:szCs w:val="24"/>
        </w:rPr>
        <w:t>评分</w:t>
      </w:r>
      <w:r>
        <w:rPr>
          <w:rFonts w:ascii="宋体" w:eastAsia="宋体" w:hAnsi="宋体" w:cs="宋体" w:hint="eastAsia"/>
          <w:color w:val="000000"/>
          <w:sz w:val="24"/>
          <w:szCs w:val="24"/>
        </w:rPr>
        <w:t>、SAVE</w:t>
      </w:r>
      <w:r w:rsidR="008E663C">
        <w:rPr>
          <w:rFonts w:ascii="宋体" w:eastAsia="宋体" w:hAnsi="宋体" w:cs="宋体" w:hint="eastAsia"/>
          <w:color w:val="000000"/>
          <w:sz w:val="24"/>
          <w:szCs w:val="24"/>
        </w:rPr>
        <w:t>评分及</w:t>
      </w:r>
      <w:r>
        <w:rPr>
          <w:rFonts w:ascii="宋体" w:eastAsia="宋体" w:hAnsi="宋体" w:cs="宋体" w:hint="eastAsia"/>
          <w:color w:val="000000"/>
          <w:sz w:val="24"/>
          <w:szCs w:val="24"/>
        </w:rPr>
        <w:t>ECPR评分的校正图。</w:t>
      </w:r>
    </w:p>
    <w:p w14:paraId="4D6F694D" w14:textId="77777777" w:rsidR="009211BE" w:rsidRDefault="009211BE">
      <w:pPr>
        <w:spacing w:line="360" w:lineRule="auto"/>
        <w:rPr>
          <w:rFonts w:ascii="宋体" w:eastAsia="宋体" w:hAnsi="宋体" w:cs="宋体"/>
          <w:color w:val="000000"/>
          <w:sz w:val="24"/>
          <w:szCs w:val="24"/>
        </w:rPr>
      </w:pPr>
    </w:p>
    <w:p w14:paraId="4627945A" w14:textId="37188FC6" w:rsidR="009211BE" w:rsidRPr="001008B4" w:rsidRDefault="0090449A">
      <w:pPr>
        <w:spacing w:line="360" w:lineRule="auto"/>
        <w:rPr>
          <w:rFonts w:ascii="宋体" w:eastAsia="宋体" w:hAnsi="宋体" w:cs="宋体"/>
          <w:b/>
          <w:bCs/>
          <w:color w:val="000000"/>
          <w:sz w:val="28"/>
          <w:szCs w:val="28"/>
        </w:rPr>
      </w:pPr>
      <w:r w:rsidRPr="001008B4">
        <w:rPr>
          <w:rFonts w:ascii="宋体" w:eastAsia="宋体" w:hAnsi="宋体" w:cs="宋体" w:hint="eastAsia"/>
          <w:b/>
          <w:bCs/>
          <w:color w:val="000000"/>
          <w:sz w:val="28"/>
          <w:szCs w:val="28"/>
        </w:rPr>
        <w:t>讨论</w:t>
      </w:r>
    </w:p>
    <w:p w14:paraId="77731151" w14:textId="44507A91" w:rsidR="009211BE" w:rsidRDefault="00CB32B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神经系统预后是ECPR术后存活患者最重要的问题，预测这些存活患者的神经系统预后对治疗很重要。然而，有关ECPR术后神经系统预后的资料有限，因此预测神经系统预后非常困难。此外，很难预测ECM</w:t>
      </w:r>
      <w:r w:rsidRPr="00277329">
        <w:rPr>
          <w:rFonts w:ascii="宋体" w:eastAsia="宋体" w:hAnsi="宋体" w:cs="宋体" w:hint="eastAsia"/>
          <w:color w:val="000000"/>
          <w:sz w:val="24"/>
          <w:szCs w:val="24"/>
        </w:rPr>
        <w:t>O</w:t>
      </w:r>
      <w:r w:rsidRPr="00E759F5">
        <w:rPr>
          <w:rFonts w:ascii="宋体" w:eastAsia="宋体" w:hAnsi="宋体" w:cs="宋体" w:hint="eastAsia"/>
          <w:color w:val="000000"/>
          <w:sz w:val="24"/>
          <w:szCs w:val="24"/>
        </w:rPr>
        <w:t>高氧持续血</w:t>
      </w:r>
      <w:proofErr w:type="gramStart"/>
      <w:r w:rsidRPr="00E759F5">
        <w:rPr>
          <w:rFonts w:ascii="宋体" w:eastAsia="宋体" w:hAnsi="宋体" w:cs="宋体" w:hint="eastAsia"/>
          <w:color w:val="000000"/>
          <w:sz w:val="24"/>
          <w:szCs w:val="24"/>
        </w:rPr>
        <w:t>流</w:t>
      </w:r>
      <w:r w:rsidRPr="00BF5A0F">
        <w:rPr>
          <w:rFonts w:ascii="宋体" w:eastAsia="宋体" w:hAnsi="宋体" w:cs="宋体" w:hint="eastAsia"/>
          <w:color w:val="000000"/>
          <w:sz w:val="24"/>
          <w:szCs w:val="24"/>
        </w:rPr>
        <w:t>如</w:t>
      </w:r>
      <w:r>
        <w:rPr>
          <w:rFonts w:ascii="宋体" w:eastAsia="宋体" w:hAnsi="宋体" w:cs="宋体" w:hint="eastAsia"/>
          <w:color w:val="000000"/>
          <w:sz w:val="24"/>
          <w:szCs w:val="24"/>
        </w:rPr>
        <w:t>何</w:t>
      </w:r>
      <w:proofErr w:type="gramEnd"/>
      <w:r>
        <w:rPr>
          <w:rFonts w:ascii="宋体" w:eastAsia="宋体" w:hAnsi="宋体" w:cs="宋体" w:hint="eastAsia"/>
          <w:color w:val="000000"/>
          <w:sz w:val="24"/>
          <w:szCs w:val="24"/>
        </w:rPr>
        <w:t>影响CBF自动调节，心肺功能恢复时间和</w:t>
      </w:r>
      <w:r w:rsidRPr="00277329">
        <w:rPr>
          <w:rFonts w:ascii="宋体" w:eastAsia="宋体" w:hAnsi="宋体" w:cs="宋体"/>
          <w:color w:val="000000"/>
          <w:sz w:val="24"/>
          <w:szCs w:val="24"/>
        </w:rPr>
        <w:t>ECMO</w:t>
      </w:r>
      <w:r w:rsidRPr="00E759F5">
        <w:rPr>
          <w:rFonts w:ascii="宋体" w:eastAsia="宋体" w:hAnsi="宋体" w:cs="宋体"/>
          <w:color w:val="000000"/>
          <w:sz w:val="24"/>
          <w:szCs w:val="24"/>
        </w:rPr>
        <w:t>支持</w:t>
      </w:r>
      <w:r w:rsidR="00277329" w:rsidRPr="001008B4">
        <w:rPr>
          <w:rFonts w:ascii="宋体" w:eastAsia="宋体" w:hAnsi="宋体" w:cs="宋体" w:hint="eastAsia"/>
          <w:color w:val="000000"/>
          <w:sz w:val="24"/>
          <w:szCs w:val="24"/>
        </w:rPr>
        <w:t>程度</w:t>
      </w:r>
      <w:r w:rsidRPr="00277329">
        <w:rPr>
          <w:rFonts w:ascii="宋体" w:eastAsia="宋体" w:hAnsi="宋体" w:cs="宋体" w:hint="eastAsia"/>
          <w:color w:val="000000"/>
          <w:sz w:val="24"/>
          <w:szCs w:val="24"/>
        </w:rPr>
        <w:t>。</w:t>
      </w:r>
      <w:r>
        <w:rPr>
          <w:rFonts w:ascii="宋体" w:eastAsia="宋体" w:hAnsi="宋体" w:cs="宋体" w:hint="eastAsia"/>
          <w:color w:val="000000"/>
          <w:sz w:val="24"/>
          <w:szCs w:val="24"/>
        </w:rPr>
        <w:t>因此，考虑到预测心脏骤停后神经系统的预后较困难，</w:t>
      </w:r>
      <w:proofErr w:type="spellStart"/>
      <w:r>
        <w:rPr>
          <w:rFonts w:ascii="宋体" w:eastAsia="宋体" w:hAnsi="宋体" w:cs="宋体" w:hint="eastAsia"/>
          <w:color w:val="000000"/>
          <w:sz w:val="24"/>
          <w:szCs w:val="24"/>
        </w:rPr>
        <w:t>nECPR</w:t>
      </w:r>
      <w:proofErr w:type="spellEnd"/>
      <w:r>
        <w:rPr>
          <w:rFonts w:ascii="宋体" w:eastAsia="宋体" w:hAnsi="宋体" w:cs="宋体" w:hint="eastAsia"/>
          <w:color w:val="000000"/>
          <w:sz w:val="24"/>
          <w:szCs w:val="24"/>
        </w:rPr>
        <w:t>评分将有助于重症监护医师、心血管外科医生和心脏病学家为ECPR后患者提供治疗依据。</w:t>
      </w:r>
    </w:p>
    <w:p w14:paraId="146C3B5A" w14:textId="77777777" w:rsidR="009211BE" w:rsidRDefault="00CB32B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在本研究中，我们调查了ECPR患者神经系统不良预后的危险因素，并建立了一个风险预测模型。主要研究结果如下：(1)年龄&gt;65岁、初始SOFA评分&gt;13分、首次监测停搏节律、CPR至ECMO启动时间&gt;30min、初始脉压&lt;25 mmHg、初始MAP&lt;70 mmHg、血糖&gt;300 mg/dL是神经系统预后不良的显著预测因素，(2)在预测神经系统不良预后方面，年龄与CPR至ECMO启动时间之间存在显著的相互作用；(3) 基于神经系统预后不良的预测因素以及这些预测因素之间的相互作用，我们使用z评分建立了一个新的预后评分系统。与以前的评分系统相比，</w:t>
      </w:r>
      <w:proofErr w:type="spellStart"/>
      <w:r>
        <w:rPr>
          <w:rFonts w:ascii="宋体" w:eastAsia="宋体" w:hAnsi="宋体" w:cs="宋体" w:hint="eastAsia"/>
          <w:color w:val="000000"/>
          <w:sz w:val="24"/>
          <w:szCs w:val="24"/>
        </w:rPr>
        <w:t>nECPR</w:t>
      </w:r>
      <w:proofErr w:type="spellEnd"/>
      <w:r>
        <w:rPr>
          <w:rFonts w:ascii="宋体" w:eastAsia="宋体" w:hAnsi="宋体" w:cs="宋体" w:hint="eastAsia"/>
          <w:color w:val="000000"/>
          <w:sz w:val="24"/>
          <w:szCs w:val="24"/>
        </w:rPr>
        <w:t>评分能更好地预测ECPR患者的神经功能预后。</w:t>
      </w:r>
    </w:p>
    <w:p w14:paraId="172DA6F7" w14:textId="77777777" w:rsidR="009211BE" w:rsidRDefault="00CB32B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在本研究中，年龄大于65岁以及CPR至ECMO启动时间的延长是神经系统预后不良的显著预测因素，年龄与CPR至ECMO启动时间之间也存在显著的相互作用。然而，在较年轻的患者中，延长CPR至ECMO启动时间与神经系统预后不良间的相关性似乎较低。在临床实践中，发现即使CPR持续时间延长，年轻患者有时也有更好的神经功能预后。原发性脑损伤是指心脏骤停后CBF效应立即停止而导致神经元缺血和脑细胞死亡。尽管存在原发性脑损伤，但由于年轻患者大脑对缺氧缺血性损伤的储备和耐受性较强，因此预后可能相对较好。此外，还可能发生继发性脑损伤，这是一种以复苏后脑氧供应和利用失衡最终导致神经元死亡为特征的累积性脑损伤，这种损伤在ROSC后立即开始，包括再灌注损伤、微循环功能障碍、脑自动调节受损、低氧血症、高氧血症、高热、动脉二氧化碳波动以及伴随的贫血。</w:t>
      </w:r>
    </w:p>
    <w:p w14:paraId="4D6B1F35" w14:textId="2CC1BDED" w:rsidR="009211BE" w:rsidRDefault="00CB32B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预防继发性脑损伤包括适当的氧输送和最佳的CBF。CBF的自动调节会随着年龄的增加而减少。因此，衰老引起的脑血流动力学改变可能会影响心脏骤停后</w:t>
      </w:r>
      <w:r>
        <w:rPr>
          <w:rFonts w:ascii="宋体" w:eastAsia="宋体" w:hAnsi="宋体" w:cs="宋体" w:hint="eastAsia"/>
          <w:color w:val="000000"/>
          <w:sz w:val="24"/>
          <w:szCs w:val="24"/>
        </w:rPr>
        <w:lastRenderedPageBreak/>
        <w:t>的神经功能预后。</w:t>
      </w:r>
      <w:r w:rsidRPr="00277329">
        <w:rPr>
          <w:rFonts w:ascii="宋体" w:eastAsia="宋体" w:hAnsi="宋体" w:cs="宋体" w:hint="eastAsia"/>
          <w:color w:val="000000"/>
          <w:sz w:val="24"/>
          <w:szCs w:val="24"/>
        </w:rPr>
        <w:t>故在心脏骤停后的患者中可能存在与低血流量持续时间相</w:t>
      </w:r>
      <w:r w:rsidRPr="00E759F5">
        <w:rPr>
          <w:rFonts w:ascii="宋体" w:eastAsia="宋体" w:hAnsi="宋体" w:cs="宋体" w:hint="eastAsia"/>
          <w:color w:val="000000"/>
          <w:sz w:val="24"/>
          <w:szCs w:val="24"/>
        </w:rPr>
        <w:t>关的</w:t>
      </w:r>
      <w:r w:rsidRPr="00277329">
        <w:rPr>
          <w:rFonts w:ascii="宋体" w:eastAsia="宋体" w:hAnsi="宋体" w:cs="宋体" w:hint="eastAsia"/>
          <w:color w:val="000000"/>
          <w:sz w:val="24"/>
          <w:szCs w:val="24"/>
        </w:rPr>
        <w:t>年龄</w:t>
      </w:r>
      <w:r w:rsidR="00277329" w:rsidRPr="001008B4">
        <w:rPr>
          <w:rFonts w:ascii="宋体" w:eastAsia="宋体" w:hAnsi="宋体" w:cs="宋体" w:hint="eastAsia"/>
          <w:color w:val="000000"/>
          <w:sz w:val="24"/>
          <w:szCs w:val="24"/>
        </w:rPr>
        <w:t>特异性</w:t>
      </w:r>
      <w:r w:rsidRPr="00277329">
        <w:rPr>
          <w:rFonts w:ascii="宋体" w:eastAsia="宋体" w:hAnsi="宋体" w:cs="宋体" w:hint="eastAsia"/>
          <w:color w:val="000000"/>
          <w:sz w:val="24"/>
          <w:szCs w:val="24"/>
        </w:rPr>
        <w:t>差异</w:t>
      </w:r>
      <w:r w:rsidRPr="00E759F5">
        <w:rPr>
          <w:rFonts w:ascii="宋体" w:eastAsia="宋体" w:hAnsi="宋体" w:cs="宋体" w:hint="eastAsia"/>
          <w:color w:val="000000"/>
          <w:sz w:val="24"/>
          <w:szCs w:val="24"/>
        </w:rPr>
        <w:t>。</w:t>
      </w:r>
      <w:r>
        <w:rPr>
          <w:rFonts w:ascii="宋体" w:eastAsia="宋体" w:hAnsi="宋体" w:cs="宋体" w:hint="eastAsia"/>
          <w:color w:val="000000"/>
          <w:sz w:val="24"/>
          <w:szCs w:val="24"/>
        </w:rPr>
        <w:t>最终，年龄和低血流量时间之间的相互作用可能是通过原发缺血性损伤和</w:t>
      </w:r>
      <w:proofErr w:type="gramStart"/>
      <w:r>
        <w:rPr>
          <w:rFonts w:ascii="宋体" w:eastAsia="宋体" w:hAnsi="宋体" w:cs="宋体" w:hint="eastAsia"/>
          <w:color w:val="000000"/>
          <w:sz w:val="24"/>
          <w:szCs w:val="24"/>
        </w:rPr>
        <w:t>继发</w:t>
      </w:r>
      <w:proofErr w:type="gramEnd"/>
      <w:r w:rsidR="00523FAF">
        <w:rPr>
          <w:rFonts w:ascii="宋体" w:eastAsia="宋体" w:hAnsi="宋体" w:cs="宋体" w:hint="eastAsia"/>
          <w:color w:val="000000"/>
          <w:sz w:val="24"/>
          <w:szCs w:val="24"/>
        </w:rPr>
        <w:t>性</w:t>
      </w:r>
      <w:r>
        <w:rPr>
          <w:rFonts w:ascii="宋体" w:eastAsia="宋体" w:hAnsi="宋体" w:cs="宋体" w:hint="eastAsia"/>
          <w:color w:val="000000"/>
          <w:sz w:val="24"/>
          <w:szCs w:val="24"/>
        </w:rPr>
        <w:t>累积性损伤的机制影响ECPR治疗患者的神经系统预后。因此，通过考虑年龄和低血流量时间之间的相互作用，我们建立了一个更好的预测ECPR治疗患者神经系统预后结局的风险预测模型。</w:t>
      </w:r>
    </w:p>
    <w:p w14:paraId="2199070D" w14:textId="77777777" w:rsidR="009211BE" w:rsidRDefault="00CB32B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在我们过去及现在的研究中，ECPR后的存活率和神经功能预后与年龄、初始SOFA评分、初始监测心律、CPR至ECMO启动时间和初始脉压有关。此外，初始MAP和血糖水平是神经系统预后的独立预测因素，而不是住院死亡率的独立预测因素。在心脏骤停后，</w:t>
      </w:r>
      <w:r w:rsidRPr="00277329">
        <w:rPr>
          <w:rFonts w:ascii="宋体" w:eastAsia="宋体" w:hAnsi="宋体" w:cs="宋体" w:hint="eastAsia"/>
          <w:color w:val="000000"/>
          <w:sz w:val="24"/>
          <w:szCs w:val="24"/>
        </w:rPr>
        <w:t>大脑自</w:t>
      </w:r>
      <w:r w:rsidRPr="00E759F5">
        <w:rPr>
          <w:rFonts w:ascii="宋体" w:eastAsia="宋体" w:hAnsi="宋体" w:cs="宋体" w:hint="eastAsia"/>
          <w:color w:val="000000"/>
          <w:sz w:val="24"/>
          <w:szCs w:val="24"/>
        </w:rPr>
        <w:t>动调节功能的变化似乎不存在或缩小并右移</w:t>
      </w:r>
      <w:r w:rsidRPr="00B039F7">
        <w:rPr>
          <w:rFonts w:ascii="宋体" w:eastAsia="宋体" w:hAnsi="宋体" w:cs="宋体"/>
          <w:color w:val="000000"/>
          <w:sz w:val="24"/>
          <w:szCs w:val="24"/>
        </w:rPr>
        <w:t>[2</w:t>
      </w:r>
      <w:r w:rsidRPr="00277329">
        <w:rPr>
          <w:rFonts w:ascii="宋体" w:eastAsia="宋体" w:hAnsi="宋体" w:cs="宋体"/>
          <w:color w:val="000000"/>
          <w:sz w:val="24"/>
          <w:szCs w:val="24"/>
        </w:rPr>
        <w:t>，18]。</w:t>
      </w:r>
      <w:r w:rsidRPr="00277329">
        <w:rPr>
          <w:rFonts w:ascii="宋体" w:eastAsia="宋体" w:hAnsi="宋体" w:cs="宋体" w:hint="eastAsia"/>
          <w:color w:val="000000"/>
          <w:sz w:val="24"/>
          <w:szCs w:val="24"/>
        </w:rPr>
        <w:t>因为自动调节的下限可能</w:t>
      </w:r>
      <w:r>
        <w:rPr>
          <w:rFonts w:ascii="宋体" w:eastAsia="宋体" w:hAnsi="宋体" w:cs="宋体" w:hint="eastAsia"/>
          <w:color w:val="000000"/>
          <w:sz w:val="24"/>
          <w:szCs w:val="24"/>
        </w:rPr>
        <w:t>显著高于传统的MAP目标，所以在心脏骤停后患者可能需要更高的MAP。在最近的一项研究中，心脏骤停后最初96小时内较高的平均MAP与增加的生存率和良好的神经系统功能预后存在相关性。对于心脏骤停后出现大脑自动调节改变的患者，初始MAP是与神经系统预后相关的一个特别重要的因素。</w:t>
      </w:r>
    </w:p>
    <w:p w14:paraId="06B04C8D" w14:textId="1FA00451" w:rsidR="009211BE" w:rsidRDefault="00CB32B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在蛛网膜下腔出血、缺血性脑卒中和创伤性脑损伤等</w:t>
      </w:r>
      <w:r w:rsidRPr="00277329">
        <w:rPr>
          <w:rFonts w:ascii="宋体" w:eastAsia="宋体" w:hAnsi="宋体" w:cs="宋体" w:hint="eastAsia"/>
          <w:color w:val="000000"/>
          <w:sz w:val="24"/>
          <w:szCs w:val="24"/>
        </w:rPr>
        <w:t>神经</w:t>
      </w:r>
      <w:r w:rsidR="00277329">
        <w:rPr>
          <w:rFonts w:ascii="宋体" w:eastAsia="宋体" w:hAnsi="宋体" w:cs="宋体" w:hint="eastAsia"/>
          <w:color w:val="000000"/>
          <w:sz w:val="24"/>
          <w:szCs w:val="24"/>
        </w:rPr>
        <w:t>重症</w:t>
      </w:r>
      <w:r>
        <w:rPr>
          <w:rFonts w:ascii="宋体" w:eastAsia="宋体" w:hAnsi="宋体" w:cs="宋体" w:hint="eastAsia"/>
          <w:color w:val="000000"/>
          <w:sz w:val="24"/>
          <w:szCs w:val="24"/>
        </w:rPr>
        <w:t>情况下，高血糖与继发性脑损伤和不良预后相关。最近的一项研究发现，ROSC术后12小时的血糖水平与6个月内的神经功能恢复之间有着密切的联系。此外，入院时和最初36小时内较高的血糖值以及较高的血糖变异性与较差的神经功能预后和死亡相关。因此，高血糖可能与心脏骤停后继发性脑损伤和不良的神经系统预后有关。本研究发现，在接受ECPR的患者中，血清葡萄糖水平大于300 mg/dL是神经系统预后不良的独立预测因素。</w:t>
      </w:r>
    </w:p>
    <w:p w14:paraId="347573FF" w14:textId="77777777" w:rsidR="009211BE" w:rsidRDefault="009211BE">
      <w:pPr>
        <w:spacing w:line="360" w:lineRule="auto"/>
        <w:rPr>
          <w:rFonts w:ascii="宋体" w:eastAsia="宋体" w:hAnsi="宋体" w:cs="宋体"/>
          <w:color w:val="000000"/>
          <w:sz w:val="24"/>
          <w:szCs w:val="24"/>
        </w:rPr>
      </w:pPr>
    </w:p>
    <w:p w14:paraId="18EFCF03" w14:textId="77777777" w:rsidR="009211BE" w:rsidRPr="001008B4" w:rsidRDefault="00CB32B0">
      <w:pPr>
        <w:spacing w:line="360" w:lineRule="auto"/>
        <w:rPr>
          <w:rFonts w:ascii="宋体" w:eastAsia="宋体" w:hAnsi="宋体" w:cs="宋体"/>
          <w:b/>
          <w:bCs/>
          <w:color w:val="000000"/>
          <w:sz w:val="24"/>
          <w:szCs w:val="24"/>
        </w:rPr>
      </w:pPr>
      <w:r w:rsidRPr="001008B4">
        <w:rPr>
          <w:rFonts w:ascii="宋体" w:eastAsia="宋体" w:hAnsi="宋体" w:cs="宋体" w:hint="eastAsia"/>
          <w:b/>
          <w:bCs/>
          <w:color w:val="000000"/>
          <w:sz w:val="24"/>
          <w:szCs w:val="24"/>
        </w:rPr>
        <w:t>研究局限性</w:t>
      </w:r>
    </w:p>
    <w:p w14:paraId="42E5639B" w14:textId="7E19E730" w:rsidR="009211BE" w:rsidRDefault="00CB32B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本研究有几个局限性。首先，这是一项回顾性研究，因此，CPC评分是根据病历确定的。通过两位独立专家对分数达成的一致意见，任何</w:t>
      </w:r>
      <w:r w:rsidR="00B51435">
        <w:rPr>
          <w:rFonts w:ascii="宋体" w:eastAsia="宋体" w:hAnsi="宋体" w:cs="宋体" w:hint="eastAsia"/>
          <w:color w:val="000000"/>
          <w:sz w:val="24"/>
          <w:szCs w:val="24"/>
        </w:rPr>
        <w:t>偏倚</w:t>
      </w:r>
      <w:r>
        <w:rPr>
          <w:rFonts w:ascii="宋体" w:eastAsia="宋体" w:hAnsi="宋体" w:cs="宋体" w:hint="eastAsia"/>
          <w:color w:val="000000"/>
          <w:sz w:val="24"/>
          <w:szCs w:val="24"/>
        </w:rPr>
        <w:t>都可能在一定程度上</w:t>
      </w:r>
      <w:r w:rsidR="00B039F7">
        <w:rPr>
          <w:rFonts w:ascii="宋体" w:eastAsia="宋体" w:hAnsi="宋体" w:cs="宋体" w:hint="eastAsia"/>
          <w:color w:val="000000"/>
          <w:sz w:val="24"/>
          <w:szCs w:val="24"/>
        </w:rPr>
        <w:t>减少</w:t>
      </w:r>
      <w:r>
        <w:rPr>
          <w:rFonts w:ascii="宋体" w:eastAsia="宋体" w:hAnsi="宋体" w:cs="宋体" w:hint="eastAsia"/>
          <w:color w:val="000000"/>
          <w:sz w:val="24"/>
          <w:szCs w:val="24"/>
        </w:rPr>
        <w:t>。其次，本研究</w:t>
      </w:r>
      <w:r w:rsidR="0077446B">
        <w:rPr>
          <w:rFonts w:ascii="宋体" w:eastAsia="宋体" w:hAnsi="宋体" w:cs="宋体" w:hint="eastAsia"/>
          <w:color w:val="000000"/>
          <w:sz w:val="24"/>
          <w:szCs w:val="24"/>
        </w:rPr>
        <w:t>是</w:t>
      </w:r>
      <w:r>
        <w:rPr>
          <w:rFonts w:ascii="宋体" w:eastAsia="宋体" w:hAnsi="宋体" w:cs="宋体" w:hint="eastAsia"/>
          <w:color w:val="000000"/>
          <w:sz w:val="24"/>
          <w:szCs w:val="24"/>
        </w:rPr>
        <w:t>在单个机构中进行的长时间的研究。在此期间，心脏骤停后管理会存在明显变化，可能影响了研究期间患者的预后。然而，CPC评分的定义没有改变。此外，所有比较中的任何偏倚都是一致的。第三，放弃治疗可能是评估ECPR治疗患者神经系统预后的一个混杂因素。最后，我们没有对外</w:t>
      </w:r>
      <w:r>
        <w:rPr>
          <w:rFonts w:ascii="宋体" w:eastAsia="宋体" w:hAnsi="宋体" w:cs="宋体" w:hint="eastAsia"/>
          <w:color w:val="000000"/>
          <w:sz w:val="24"/>
          <w:szCs w:val="24"/>
        </w:rPr>
        <w:lastRenderedPageBreak/>
        <w:t>部验证队列(在我们医院以外)进行测试，以克服我们模型外部验证可能存在的局限性，尽管这种验证可能仅适用于证明不同的患者群体。</w:t>
      </w:r>
    </w:p>
    <w:p w14:paraId="752B1004" w14:textId="77777777" w:rsidR="009211BE" w:rsidRDefault="009211BE">
      <w:pPr>
        <w:spacing w:line="360" w:lineRule="auto"/>
        <w:rPr>
          <w:rFonts w:ascii="宋体" w:eastAsia="宋体" w:hAnsi="宋体" w:cs="宋体"/>
          <w:color w:val="000000"/>
          <w:sz w:val="24"/>
          <w:szCs w:val="24"/>
        </w:rPr>
      </w:pPr>
    </w:p>
    <w:p w14:paraId="10125A13" w14:textId="77777777" w:rsidR="009211BE" w:rsidRPr="001008B4" w:rsidRDefault="00CB32B0">
      <w:pPr>
        <w:spacing w:line="360" w:lineRule="auto"/>
        <w:rPr>
          <w:rFonts w:ascii="宋体" w:eastAsia="宋体" w:hAnsi="宋体" w:cs="宋体"/>
          <w:b/>
          <w:bCs/>
          <w:color w:val="000000"/>
          <w:sz w:val="28"/>
          <w:szCs w:val="28"/>
        </w:rPr>
      </w:pPr>
      <w:r w:rsidRPr="001008B4">
        <w:rPr>
          <w:rFonts w:ascii="宋体" w:eastAsia="宋体" w:hAnsi="宋体" w:cs="宋体" w:hint="eastAsia"/>
          <w:b/>
          <w:bCs/>
          <w:color w:val="000000"/>
          <w:sz w:val="28"/>
          <w:szCs w:val="28"/>
        </w:rPr>
        <w:t>结论</w:t>
      </w:r>
    </w:p>
    <w:p w14:paraId="2B163EAE" w14:textId="77777777" w:rsidR="009211BE" w:rsidRDefault="00CB32B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通过使用独立的预测因素和年龄以及低血流量时间之间的相互作用，我们建立了一个新的风险模型用于预测ECPR治疗患者的不良神经系统预后。这种新的神经学评分系统可有助于指导ECPR治疗的决策，并更有效地预测早期神经系统预后。</w:t>
      </w:r>
    </w:p>
    <w:p w14:paraId="0F6F6065" w14:textId="77777777" w:rsidR="009211BE" w:rsidRDefault="009211BE">
      <w:pPr>
        <w:spacing w:line="360" w:lineRule="auto"/>
        <w:rPr>
          <w:rFonts w:ascii="宋体" w:eastAsia="宋体" w:hAnsi="宋体" w:cs="宋体"/>
          <w:color w:val="000000"/>
          <w:sz w:val="24"/>
          <w:szCs w:val="24"/>
        </w:rPr>
      </w:pPr>
    </w:p>
    <w:p w14:paraId="3ED1CB99" w14:textId="77777777" w:rsidR="009211BE" w:rsidRDefault="009211BE">
      <w:pPr>
        <w:spacing w:line="360" w:lineRule="auto"/>
        <w:rPr>
          <w:rFonts w:ascii="宋体" w:eastAsia="宋体" w:hAnsi="宋体" w:cs="宋体"/>
          <w:color w:val="000000"/>
          <w:sz w:val="24"/>
          <w:szCs w:val="24"/>
        </w:rPr>
      </w:pPr>
    </w:p>
    <w:sectPr w:rsidR="00921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02F"/>
    <w:rsid w:val="00003A4A"/>
    <w:rsid w:val="00024F25"/>
    <w:rsid w:val="00054FF0"/>
    <w:rsid w:val="00066842"/>
    <w:rsid w:val="000A18AA"/>
    <w:rsid w:val="000C460F"/>
    <w:rsid w:val="001008B4"/>
    <w:rsid w:val="00156943"/>
    <w:rsid w:val="00191E4C"/>
    <w:rsid w:val="001D02B2"/>
    <w:rsid w:val="001F18DE"/>
    <w:rsid w:val="001F6F5C"/>
    <w:rsid w:val="00213EAC"/>
    <w:rsid w:val="002340B8"/>
    <w:rsid w:val="00277329"/>
    <w:rsid w:val="00283C41"/>
    <w:rsid w:val="002C39D7"/>
    <w:rsid w:val="002D04FB"/>
    <w:rsid w:val="002E0505"/>
    <w:rsid w:val="00315DC2"/>
    <w:rsid w:val="00330BD3"/>
    <w:rsid w:val="00345024"/>
    <w:rsid w:val="003609FC"/>
    <w:rsid w:val="003627DF"/>
    <w:rsid w:val="003F3471"/>
    <w:rsid w:val="00411222"/>
    <w:rsid w:val="00446D28"/>
    <w:rsid w:val="004C4F6C"/>
    <w:rsid w:val="00523FAF"/>
    <w:rsid w:val="00535951"/>
    <w:rsid w:val="005939A8"/>
    <w:rsid w:val="00644DEB"/>
    <w:rsid w:val="006964E6"/>
    <w:rsid w:val="006B225F"/>
    <w:rsid w:val="006C73CC"/>
    <w:rsid w:val="006E0680"/>
    <w:rsid w:val="006E0912"/>
    <w:rsid w:val="007424E2"/>
    <w:rsid w:val="0077446B"/>
    <w:rsid w:val="00785BD7"/>
    <w:rsid w:val="007A497A"/>
    <w:rsid w:val="007B044D"/>
    <w:rsid w:val="00866DF8"/>
    <w:rsid w:val="008A160C"/>
    <w:rsid w:val="008B0F11"/>
    <w:rsid w:val="008E663C"/>
    <w:rsid w:val="00901017"/>
    <w:rsid w:val="00904489"/>
    <w:rsid w:val="0090449A"/>
    <w:rsid w:val="0091713B"/>
    <w:rsid w:val="009211BE"/>
    <w:rsid w:val="00990E2D"/>
    <w:rsid w:val="0099202F"/>
    <w:rsid w:val="009F688F"/>
    <w:rsid w:val="00A513D2"/>
    <w:rsid w:val="00A6405D"/>
    <w:rsid w:val="00A96D98"/>
    <w:rsid w:val="00AB4A8B"/>
    <w:rsid w:val="00AE1E5E"/>
    <w:rsid w:val="00AF2844"/>
    <w:rsid w:val="00B039F7"/>
    <w:rsid w:val="00B12C73"/>
    <w:rsid w:val="00B51435"/>
    <w:rsid w:val="00B5305F"/>
    <w:rsid w:val="00B55A12"/>
    <w:rsid w:val="00B64D4A"/>
    <w:rsid w:val="00B743A2"/>
    <w:rsid w:val="00B967DB"/>
    <w:rsid w:val="00BA0013"/>
    <w:rsid w:val="00BB3B02"/>
    <w:rsid w:val="00BC4185"/>
    <w:rsid w:val="00BE1BD7"/>
    <w:rsid w:val="00BF5A0F"/>
    <w:rsid w:val="00C06DA2"/>
    <w:rsid w:val="00C149A0"/>
    <w:rsid w:val="00C319DB"/>
    <w:rsid w:val="00C3727A"/>
    <w:rsid w:val="00C37562"/>
    <w:rsid w:val="00C577D5"/>
    <w:rsid w:val="00C874EC"/>
    <w:rsid w:val="00C93027"/>
    <w:rsid w:val="00CB32B0"/>
    <w:rsid w:val="00CB7430"/>
    <w:rsid w:val="00CF6448"/>
    <w:rsid w:val="00D406E2"/>
    <w:rsid w:val="00D702CA"/>
    <w:rsid w:val="00D8343F"/>
    <w:rsid w:val="00DB50BE"/>
    <w:rsid w:val="00E05F20"/>
    <w:rsid w:val="00E236F0"/>
    <w:rsid w:val="00E41FF0"/>
    <w:rsid w:val="00E759F5"/>
    <w:rsid w:val="00EB091C"/>
    <w:rsid w:val="00EB4466"/>
    <w:rsid w:val="00EF347C"/>
    <w:rsid w:val="00F4062D"/>
    <w:rsid w:val="00F5314A"/>
    <w:rsid w:val="00F67801"/>
    <w:rsid w:val="00FE0FC5"/>
    <w:rsid w:val="00FE3821"/>
    <w:rsid w:val="261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A0C38A"/>
  <w15:docId w15:val="{88C48A91-4819-4A9C-BFE2-3134804F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translated-span">
    <w:name w:val="translated-span"/>
    <w:basedOn w:val="a0"/>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document\convert_tasks\transweb\13438996_13441778\13438996.pdf.files\image006.gif"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file:///D:\document\convert_tasks\transweb\13438996_13441778\13438996.pdf.files\image007.gif" TargetMode="Externa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1383</Words>
  <Characters>7889</Characters>
  <Application>Microsoft Office Word</Application>
  <DocSecurity>0</DocSecurity>
  <Lines>65</Lines>
  <Paragraphs>18</Paragraphs>
  <ScaleCrop>false</ScaleCrop>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Young</dc:creator>
  <cp:lastModifiedBy>周 荣华</cp:lastModifiedBy>
  <cp:revision>89</cp:revision>
  <dcterms:created xsi:type="dcterms:W3CDTF">2021-05-19T06:21:00Z</dcterms:created>
  <dcterms:modified xsi:type="dcterms:W3CDTF">2021-07-09T04:01:00Z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