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A66E" w14:textId="4C30F84F" w:rsidR="0050348B" w:rsidRPr="00C50AF2" w:rsidRDefault="00AD34DE" w:rsidP="00C50AF2">
      <w:pPr>
        <w:pStyle w:val="a8"/>
        <w:jc w:val="center"/>
        <w:rPr>
          <w:b/>
          <w:bCs/>
          <w:sz w:val="28"/>
          <w:szCs w:val="28"/>
        </w:rPr>
      </w:pPr>
      <w:r w:rsidRPr="00C50AF2">
        <w:rPr>
          <w:b/>
          <w:bCs/>
          <w:sz w:val="28"/>
          <w:szCs w:val="28"/>
        </w:rPr>
        <w:t>体外循环手术中血液吸附的影响——一项使用新型吸附剂的</w:t>
      </w:r>
      <w:r w:rsidR="00C50AF2">
        <w:rPr>
          <w:rFonts w:hint="eastAsia"/>
          <w:b/>
          <w:bCs/>
          <w:sz w:val="28"/>
          <w:szCs w:val="28"/>
        </w:rPr>
        <w:t>初步</w:t>
      </w:r>
      <w:r w:rsidRPr="00C50AF2">
        <w:rPr>
          <w:b/>
          <w:bCs/>
          <w:sz w:val="28"/>
          <w:szCs w:val="28"/>
        </w:rPr>
        <w:t>单盲</w:t>
      </w:r>
      <w:r w:rsidR="00C50AF2">
        <w:rPr>
          <w:rFonts w:hint="eastAsia"/>
          <w:b/>
          <w:bCs/>
          <w:sz w:val="28"/>
          <w:szCs w:val="28"/>
        </w:rPr>
        <w:t>、</w:t>
      </w:r>
      <w:r w:rsidRPr="00C50AF2">
        <w:rPr>
          <w:b/>
          <w:bCs/>
          <w:sz w:val="28"/>
          <w:szCs w:val="28"/>
        </w:rPr>
        <w:t>随机</w:t>
      </w:r>
      <w:r w:rsidR="00C50AF2">
        <w:rPr>
          <w:rFonts w:hint="eastAsia"/>
          <w:b/>
          <w:bCs/>
          <w:sz w:val="28"/>
          <w:szCs w:val="28"/>
        </w:rPr>
        <w:t>、</w:t>
      </w:r>
      <w:r w:rsidRPr="00C50AF2">
        <w:rPr>
          <w:b/>
          <w:bCs/>
          <w:sz w:val="28"/>
          <w:szCs w:val="28"/>
        </w:rPr>
        <w:t>对照研究</w:t>
      </w:r>
    </w:p>
    <w:p w14:paraId="3BC7FFAA" w14:textId="6FAAAE13" w:rsidR="0050348B" w:rsidRDefault="00E33FF0">
      <w:pPr>
        <w:pStyle w:val="a8"/>
      </w:pPr>
      <w:r>
        <w:rPr>
          <w:rFonts w:hint="eastAsia"/>
        </w:rPr>
        <w:t>翻译</w:t>
      </w:r>
      <w:r w:rsidR="00AD34DE">
        <w:t>：啜俊波</w:t>
      </w:r>
      <w:r w:rsidR="00AD34DE">
        <w:rPr>
          <w:rFonts w:hint="eastAsia"/>
        </w:rPr>
        <w:t xml:space="preserve"> </w:t>
      </w:r>
      <w:r w:rsidR="00AD34DE">
        <w:t>单位：哈尔滨医科大学附属第二医院</w:t>
      </w:r>
    </w:p>
    <w:p w14:paraId="7E25401B" w14:textId="64632E11" w:rsidR="00503315" w:rsidRDefault="00503315">
      <w:pPr>
        <w:pStyle w:val="a8"/>
      </w:pPr>
      <w:r>
        <w:rPr>
          <w:rFonts w:hint="eastAsia"/>
        </w:rPr>
        <w:t xml:space="preserve">审校：李平 </w:t>
      </w:r>
      <w:r>
        <w:t xml:space="preserve">  </w:t>
      </w:r>
      <w:r>
        <w:rPr>
          <w:rFonts w:hint="eastAsia"/>
        </w:rPr>
        <w:t>单位：</w:t>
      </w:r>
      <w:r w:rsidRPr="00503315">
        <w:rPr>
          <w:rFonts w:hint="eastAsia"/>
        </w:rPr>
        <w:t>华中科技大学</w:t>
      </w:r>
      <w:r>
        <w:rPr>
          <w:rFonts w:hint="eastAsia"/>
        </w:rPr>
        <w:t>同济医学院</w:t>
      </w:r>
      <w:r w:rsidRPr="00503315">
        <w:rPr>
          <w:rFonts w:hint="eastAsia"/>
        </w:rPr>
        <w:t>附属协和医院</w:t>
      </w:r>
    </w:p>
    <w:p w14:paraId="00F8C8F3" w14:textId="6341C11B" w:rsidR="00C50AF2" w:rsidRDefault="00C50AF2">
      <w:pPr>
        <w:pStyle w:val="a8"/>
        <w:rPr>
          <w:rFonts w:hint="eastAsia"/>
        </w:rPr>
      </w:pPr>
    </w:p>
    <w:p w14:paraId="1D5888BC" w14:textId="3F6171D4" w:rsidR="00C50AF2" w:rsidRPr="00C50AF2" w:rsidRDefault="00C50AF2" w:rsidP="00C50AF2">
      <w:pPr>
        <w:pStyle w:val="a8"/>
        <w:rPr>
          <w:b/>
          <w:bCs/>
          <w:sz w:val="28"/>
          <w:szCs w:val="28"/>
        </w:rPr>
      </w:pPr>
      <w:r w:rsidRPr="00C50AF2">
        <w:rPr>
          <w:rFonts w:hint="eastAsia"/>
          <w:b/>
          <w:bCs/>
          <w:sz w:val="28"/>
          <w:szCs w:val="28"/>
        </w:rPr>
        <w:t>【</w:t>
      </w:r>
      <w:r w:rsidRPr="00C50AF2">
        <w:rPr>
          <w:b/>
          <w:bCs/>
          <w:sz w:val="28"/>
          <w:szCs w:val="28"/>
        </w:rPr>
        <w:t>摘要</w:t>
      </w:r>
      <w:r w:rsidRPr="00C50AF2">
        <w:rPr>
          <w:rFonts w:hint="eastAsia"/>
          <w:b/>
          <w:bCs/>
          <w:sz w:val="28"/>
          <w:szCs w:val="28"/>
        </w:rPr>
        <w:t>】</w:t>
      </w:r>
    </w:p>
    <w:p w14:paraId="724F2ED3" w14:textId="77777777" w:rsidR="00C50AF2" w:rsidRDefault="00C50AF2" w:rsidP="00C50AF2">
      <w:pPr>
        <w:pStyle w:val="a8"/>
      </w:pPr>
      <w:r w:rsidRPr="00C50AF2">
        <w:rPr>
          <w:b/>
          <w:bCs/>
        </w:rPr>
        <w:t>背景</w:t>
      </w:r>
      <w:r>
        <w:t>：体外循环（CPB）手术引发的全身炎症反应与术后发病率和死亡率有关，而吸附血液</w:t>
      </w:r>
      <w:r>
        <w:rPr>
          <w:rFonts w:hint="eastAsia"/>
        </w:rPr>
        <w:t>中</w:t>
      </w:r>
      <w:r>
        <w:t>的细胞因子</w:t>
      </w:r>
      <w:r>
        <w:rPr>
          <w:rFonts w:hint="eastAsia"/>
        </w:rPr>
        <w:t>可以</w:t>
      </w:r>
      <w:r>
        <w:t>抑制炎症反应并改善预后。因此，我们将一种新型的血液吸附剂（CytoSorb™; CytoSorbents Europe GmbH, 德国柏林）安装在CPB回路中，</w:t>
      </w:r>
      <w:r>
        <w:rPr>
          <w:rFonts w:hint="eastAsia"/>
        </w:rPr>
        <w:t>并</w:t>
      </w:r>
      <w:r>
        <w:t>检测促炎和抗炎细胞因子</w:t>
      </w:r>
      <w:r>
        <w:rPr>
          <w:rFonts w:hint="eastAsia"/>
        </w:rPr>
        <w:t>的</w:t>
      </w:r>
      <w:r>
        <w:t>水平、炎症标志物的变化以及患者围术期病程的差异。</w:t>
      </w:r>
    </w:p>
    <w:p w14:paraId="6C91BFDD" w14:textId="3D0B3724" w:rsidR="00C50AF2" w:rsidRDefault="00C50AF2" w:rsidP="00C50AF2">
      <w:pPr>
        <w:pStyle w:val="a8"/>
      </w:pPr>
      <w:r w:rsidRPr="00C50AF2">
        <w:rPr>
          <w:b/>
          <w:bCs/>
        </w:rPr>
        <w:t>方法：</w:t>
      </w:r>
      <w:r>
        <w:t>在第一</w:t>
      </w:r>
      <w:r>
        <w:rPr>
          <w:rFonts w:hint="eastAsia"/>
        </w:rPr>
        <w:t>项实验</w:t>
      </w:r>
      <w:r>
        <w:t>中，37名在维也纳医科大学接受择期体外循环手术的患者，被随机分配到HA组(n=19)或对照组(n=18)。术后五天检测</w:t>
      </w:r>
      <w:r w:rsidRPr="00D53AD6">
        <w:rPr>
          <w:rFonts w:hint="eastAsia"/>
        </w:rPr>
        <w:t>主要</w:t>
      </w:r>
      <w:r>
        <w:t>细胞因子水平，包括(IL-1β, IL-6, IL-18, TNF-α, and IL-10)</w:t>
      </w:r>
      <w:r>
        <w:rPr>
          <w:rFonts w:hint="eastAsia"/>
        </w:rPr>
        <w:t>；并</w:t>
      </w:r>
      <w:r>
        <w:t>分析体外脂多糖LPS诱导的TNF-α生成，HMGB1</w:t>
      </w:r>
      <w:r>
        <w:rPr>
          <w:rFonts w:hint="eastAsia"/>
        </w:rPr>
        <w:t>（</w:t>
      </w:r>
      <w:r>
        <w:t>高迁移率族蛋白-1</w:t>
      </w:r>
      <w:r>
        <w:rPr>
          <w:rFonts w:hint="eastAsia"/>
        </w:rPr>
        <w:t>）及</w:t>
      </w:r>
      <w:r>
        <w:t>其他炎性标志物是否存在差异。此外，</w:t>
      </w:r>
      <w:r>
        <w:rPr>
          <w:rFonts w:hint="eastAsia"/>
        </w:rPr>
        <w:t>我们</w:t>
      </w:r>
      <w:r>
        <w:t>还分析了液体成分、血液制品、儿茶酚胺治疗、生物电阻抗（BIA）和30天死亡率。</w:t>
      </w:r>
    </w:p>
    <w:p w14:paraId="2E7A60E5" w14:textId="77777777" w:rsidR="00C50AF2" w:rsidRDefault="00C50AF2" w:rsidP="00C50AF2">
      <w:pPr>
        <w:pStyle w:val="a8"/>
      </w:pPr>
      <w:r w:rsidRPr="00C50AF2">
        <w:rPr>
          <w:b/>
          <w:bCs/>
        </w:rPr>
        <w:t>结果：</w:t>
      </w:r>
      <w:r>
        <w:t>尽管我们在CPB后24小时（中位数0.3， IQR 0-4.5；对照组：不可追踪，P=0.0347）和48小时（中位数0，IQR 0-1.2与不可追踪，P=0.0185）观察到IL-10存在差异，但我们发现</w:t>
      </w:r>
      <w:r>
        <w:rPr>
          <w:rFonts w:hint="eastAsia"/>
        </w:rPr>
        <w:t>使用</w:t>
      </w:r>
      <w:r>
        <w:t>HA治疗后</w:t>
      </w:r>
      <w:r>
        <w:rPr>
          <w:rFonts w:hint="eastAsia"/>
        </w:rPr>
        <w:t>，</w:t>
      </w:r>
      <w:r>
        <w:t>主要转归</w:t>
      </w:r>
      <w:r>
        <w:rPr>
          <w:rFonts w:hint="eastAsia"/>
        </w:rPr>
        <w:t>并</w:t>
      </w:r>
      <w:r>
        <w:t>没有差异。两组之间IL-6没有差异，其他细胞因子表达</w:t>
      </w:r>
      <w:r>
        <w:rPr>
          <w:rFonts w:hint="eastAsia"/>
        </w:rPr>
        <w:t>较</w:t>
      </w:r>
      <w:r>
        <w:t>少。虽然HMGB1的预处理水平存在差异（HA：中位数0，IQR 0-28.1；对照组：中位数48.6，IQR 12.7-597.3，P=0.02083），但治疗后水平没有显著变化。另外，在炎症标志物、液体管理、血液替代、儿茶酚胺、BIA和30天死亡率方面也未发现差异。</w:t>
      </w:r>
    </w:p>
    <w:p w14:paraId="27E40257" w14:textId="09C75A78" w:rsidR="00C50AF2" w:rsidRDefault="00C50AF2" w:rsidP="00C50AF2">
      <w:pPr>
        <w:pStyle w:val="a8"/>
      </w:pPr>
      <w:r w:rsidRPr="00C50AF2">
        <w:rPr>
          <w:b/>
          <w:bCs/>
        </w:rPr>
        <w:t>结论：</w:t>
      </w:r>
      <w:r>
        <w:t>我们发现患者的</w:t>
      </w:r>
      <w:r>
        <w:rPr>
          <w:rFonts w:hint="eastAsia"/>
        </w:rPr>
        <w:t>炎性</w:t>
      </w:r>
      <w:r>
        <w:t>反应</w:t>
      </w:r>
      <w:r>
        <w:rPr>
          <w:rFonts w:hint="eastAsia"/>
        </w:rPr>
        <w:t>没</w:t>
      </w:r>
      <w:r>
        <w:t>有减少，因此围术期过程并没有改变。结果显示IL-10具有长期的抗炎作用，但其临床效果需要进一步评估。我们还观察到细胞因子水平</w:t>
      </w:r>
      <w:r>
        <w:rPr>
          <w:rFonts w:hint="eastAsia"/>
        </w:rPr>
        <w:t>存在很大的</w:t>
      </w:r>
      <w:r>
        <w:t>个体差异</w:t>
      </w:r>
      <w:r>
        <w:rPr>
          <w:rFonts w:hint="eastAsia"/>
        </w:rPr>
        <w:t>，</w:t>
      </w:r>
      <w:r>
        <w:t>因此，需要确定对体外循环有过度炎症反应的患者。在CPB期间实施HA是可行的。试验注册</w:t>
      </w:r>
      <w:r w:rsidR="00104900">
        <w:rPr>
          <w:rFonts w:hint="eastAsia"/>
        </w:rPr>
        <w:t>：</w:t>
      </w:r>
      <w:r>
        <w:t>ClinicalTrials.gov:NCT01879176，注册日期：2013年6月7日。</w:t>
      </w:r>
    </w:p>
    <w:p w14:paraId="713A9294" w14:textId="77777777" w:rsidR="00C50AF2" w:rsidRDefault="00C50AF2" w:rsidP="00C50AF2">
      <w:pPr>
        <w:pStyle w:val="a8"/>
      </w:pPr>
      <w:r w:rsidRPr="00C50AF2">
        <w:rPr>
          <w:b/>
          <w:bCs/>
        </w:rPr>
        <w:t>关键词：</w:t>
      </w:r>
      <w:r>
        <w:t>细胞因子，细胞因子风暴，细胞吸收剂，心脏手术，体外循环，血液吸附，炎症，白细胞介素，高迁移率族蛋白-1</w:t>
      </w:r>
    </w:p>
    <w:p w14:paraId="68444002" w14:textId="77777777" w:rsidR="00C50AF2" w:rsidRDefault="00C50AF2">
      <w:pPr>
        <w:pStyle w:val="a8"/>
        <w:rPr>
          <w:rFonts w:hint="eastAsia"/>
        </w:rPr>
      </w:pPr>
    </w:p>
    <w:p w14:paraId="12E80CC6" w14:textId="77777777" w:rsidR="0050348B" w:rsidRPr="00C50AF2" w:rsidRDefault="00AD34DE">
      <w:pPr>
        <w:pStyle w:val="a8"/>
        <w:rPr>
          <w:sz w:val="28"/>
          <w:szCs w:val="28"/>
        </w:rPr>
      </w:pPr>
      <w:r w:rsidRPr="00C50AF2">
        <w:rPr>
          <w:b/>
          <w:bCs/>
          <w:sz w:val="28"/>
          <w:szCs w:val="28"/>
        </w:rPr>
        <w:lastRenderedPageBreak/>
        <w:t>背景</w:t>
      </w:r>
      <w:r w:rsidRPr="00C50AF2">
        <w:rPr>
          <w:sz w:val="28"/>
          <w:szCs w:val="28"/>
        </w:rPr>
        <w:t xml:space="preserve"> </w:t>
      </w:r>
    </w:p>
    <w:p w14:paraId="6B3EC8E4" w14:textId="77777777" w:rsidR="0050348B" w:rsidRDefault="00AD34DE">
      <w:pPr>
        <w:pStyle w:val="a8"/>
        <w:ind w:firstLineChars="200" w:firstLine="480"/>
      </w:pPr>
      <w:r>
        <w:t>体外循环（CPB）手术可</w:t>
      </w:r>
      <w:r>
        <w:rPr>
          <w:rFonts w:hint="eastAsia"/>
        </w:rPr>
        <w:t>引起</w:t>
      </w:r>
      <w:r>
        <w:t>全身炎症反应</w:t>
      </w:r>
      <w:r>
        <w:rPr>
          <w:rFonts w:hint="eastAsia"/>
        </w:rPr>
        <w:t>，</w:t>
      </w:r>
      <w:r>
        <w:t>导致炎症稳态的失调</w:t>
      </w:r>
      <w:r>
        <w:rPr>
          <w:rFonts w:hint="eastAsia"/>
        </w:rPr>
        <w:t>及</w:t>
      </w:r>
      <w:r>
        <w:t>促炎和抗炎介质水平的增加，如肿瘤坏死因子-α(TNF-α)、白细胞介素-1β(IL-1β)、IL-6、IL-10和IL-18</w:t>
      </w:r>
      <w:r>
        <w:rPr>
          <w:rFonts w:hint="eastAsia"/>
        </w:rPr>
        <w:t>，这些细胞因子主要由</w:t>
      </w:r>
      <w:r>
        <w:t>单核细胞和HMGB1蛋白</w:t>
      </w:r>
      <w:r>
        <w:rPr>
          <w:rFonts w:hint="eastAsia"/>
        </w:rPr>
        <w:t>产生</w:t>
      </w:r>
      <w:r>
        <w:t>。这种强烈的炎症反应</w:t>
      </w:r>
      <w:r>
        <w:rPr>
          <w:rFonts w:hint="eastAsia"/>
        </w:rPr>
        <w:t>可以</w:t>
      </w:r>
      <w:r>
        <w:t>导致手术后单核细胞免疫抑制，表现为体外脂多糖诱导的TNF-α表达减弱。</w:t>
      </w:r>
      <w:r>
        <w:rPr>
          <w:rFonts w:hint="eastAsia"/>
        </w:rPr>
        <w:t>上述</w:t>
      </w:r>
      <w:r>
        <w:t>因素可导致术后病程延长，包括延迟拔管、器官功能恢复减慢以及ICU停留时间延长。因此</w:t>
      </w:r>
      <w:r>
        <w:rPr>
          <w:rFonts w:hint="eastAsia"/>
        </w:rPr>
        <w:t>，减少患者炎症反应</w:t>
      </w:r>
      <w:r>
        <w:t>有可能改善围手术期的病程</w:t>
      </w:r>
      <w:r>
        <w:rPr>
          <w:rFonts w:hint="eastAsia"/>
        </w:rPr>
        <w:t>。</w:t>
      </w:r>
      <w:r>
        <w:t>使用CytoSorb™吸附器(CytoSorbents Europe GmbH，德国柏林)的血液吸附(HA)是一项</w:t>
      </w:r>
      <w:r>
        <w:rPr>
          <w:rFonts w:hint="eastAsia"/>
        </w:rPr>
        <w:t>最新</w:t>
      </w:r>
      <w:r>
        <w:t>的技术，它可以快速清除</w:t>
      </w:r>
      <w:r>
        <w:rPr>
          <w:rFonts w:hint="eastAsia"/>
        </w:rPr>
        <w:t>当前血液净化技术无法清除的</w:t>
      </w:r>
      <w:r>
        <w:t>关键细胞因子。</w:t>
      </w:r>
    </w:p>
    <w:p w14:paraId="62ADBF2C" w14:textId="77777777" w:rsidR="0050348B" w:rsidRDefault="00AD34DE">
      <w:pPr>
        <w:pStyle w:val="a8"/>
        <w:ind w:firstLineChars="200" w:firstLine="480"/>
      </w:pPr>
      <w:r>
        <w:rPr>
          <w:rFonts w:hint="eastAsia"/>
        </w:rPr>
        <w:t>本研究将</w:t>
      </w:r>
      <w:r>
        <w:t>CytoSorb™吸附器</w:t>
      </w:r>
      <w:r>
        <w:rPr>
          <w:rFonts w:hint="eastAsia"/>
        </w:rPr>
        <w:t>安装在CPB回路中，检测促炎和抗炎细胞因子水平、炎症标志物的改变及患者围术期病程差异。</w:t>
      </w:r>
    </w:p>
    <w:p w14:paraId="3E8BEE00" w14:textId="77777777" w:rsidR="0050348B" w:rsidRPr="00C50AF2" w:rsidRDefault="00AD34DE">
      <w:pPr>
        <w:pStyle w:val="a8"/>
        <w:rPr>
          <w:b/>
          <w:bCs/>
          <w:sz w:val="28"/>
          <w:szCs w:val="28"/>
        </w:rPr>
      </w:pPr>
      <w:r w:rsidRPr="00C50AF2">
        <w:rPr>
          <w:rStyle w:val="h1"/>
          <w:b/>
          <w:bCs/>
          <w:sz w:val="28"/>
          <w:szCs w:val="28"/>
        </w:rPr>
        <w:t>方法</w:t>
      </w:r>
    </w:p>
    <w:p w14:paraId="193648E0" w14:textId="77777777" w:rsidR="0050348B" w:rsidRDefault="00AD34DE">
      <w:pPr>
        <w:pStyle w:val="a8"/>
        <w:ind w:firstLineChars="200" w:firstLine="480"/>
      </w:pPr>
      <w:r>
        <w:rPr>
          <w:rFonts w:hint="eastAsia"/>
        </w:rPr>
        <w:t>共纳入</w:t>
      </w:r>
      <w:r>
        <w:t>46</w:t>
      </w:r>
      <w:r>
        <w:rPr>
          <w:rFonts w:hint="eastAsia"/>
        </w:rPr>
        <w:t>例于</w:t>
      </w:r>
      <w:r>
        <w:t>2013年9月10日至2015年5月6日在奥地利维也纳医科大学心脏外科</w:t>
      </w:r>
      <w:r>
        <w:rPr>
          <w:rFonts w:hint="eastAsia"/>
        </w:rPr>
        <w:t>进行预计CPB</w:t>
      </w:r>
      <w:r>
        <w:t>时间超过120</w:t>
      </w:r>
      <w:r>
        <w:rPr>
          <w:rFonts w:hint="eastAsia"/>
        </w:rPr>
        <w:t>分钟</w:t>
      </w:r>
      <w:r>
        <w:t>的成年心脏直视手术（冠状动脉旁路移植术，瓣膜手术，联合手术）</w:t>
      </w:r>
      <w:r>
        <w:rPr>
          <w:rFonts w:hint="eastAsia"/>
        </w:rPr>
        <w:t>患者</w:t>
      </w:r>
      <w:r>
        <w:t>。</w:t>
      </w:r>
      <w:r>
        <w:rPr>
          <w:rFonts w:hint="eastAsia"/>
        </w:rPr>
        <w:t>患者纳入过程见图1。</w:t>
      </w:r>
    </w:p>
    <w:p w14:paraId="529668CE" w14:textId="77777777" w:rsidR="0050348B" w:rsidRDefault="00AD34DE">
      <w:pPr>
        <w:pStyle w:val="a8"/>
      </w:pPr>
      <w:r>
        <w:rPr>
          <w:noProof/>
        </w:rPr>
        <w:drawing>
          <wp:inline distT="0" distB="0" distL="0" distR="0" wp14:anchorId="23C8A88C" wp14:editId="63F6C8B1">
            <wp:extent cx="5274310" cy="2859405"/>
            <wp:effectExtent l="0" t="0" r="2540" b="0"/>
            <wp:docPr id="1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示意图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F7FD9" w14:textId="77777777" w:rsidR="0050348B" w:rsidRDefault="00AD34DE">
      <w:pPr>
        <w:pStyle w:val="a8"/>
        <w:ind w:firstLineChars="200" w:firstLine="480"/>
      </w:pPr>
      <w:r>
        <w:rPr>
          <w:rFonts w:hint="eastAsia"/>
        </w:rPr>
        <w:t>本研究</w:t>
      </w:r>
      <w:r>
        <w:t>主要结果是在体外循环期间使用CytoSorb™吸附器后细胞因子的变化。次要结果是LPS诱导TNF-α释放的差异；HMGB1表达差异；血清CRP或降钙素原（PCT）浓度的变化；流体成分需求的差异 （晶体和胶体溶液）、血液制品（红细胞、新鲜冷冻血浆和血小板）使用的差异或儿茶酚胺治疗的差异；BIA、ICU住院时间和30天死亡率的变化。</w:t>
      </w:r>
    </w:p>
    <w:p w14:paraId="72189FF0" w14:textId="77777777" w:rsidR="0050348B" w:rsidRPr="00C50AF2" w:rsidRDefault="00AD34DE">
      <w:pPr>
        <w:pStyle w:val="a8"/>
        <w:rPr>
          <w:b/>
          <w:bCs/>
          <w:sz w:val="28"/>
          <w:szCs w:val="28"/>
        </w:rPr>
      </w:pPr>
      <w:r w:rsidRPr="00C50AF2">
        <w:rPr>
          <w:rStyle w:val="h1"/>
          <w:b/>
          <w:bCs/>
          <w:sz w:val="28"/>
          <w:szCs w:val="28"/>
        </w:rPr>
        <w:lastRenderedPageBreak/>
        <w:t>结果</w:t>
      </w:r>
    </w:p>
    <w:p w14:paraId="35BCC0FC" w14:textId="77777777" w:rsidR="0050348B" w:rsidRDefault="00AD34DE">
      <w:pPr>
        <w:pStyle w:val="a8"/>
        <w:ind w:firstLineChars="200" w:firstLine="480"/>
      </w:pPr>
      <w:r>
        <w:rPr>
          <w:rFonts w:hint="eastAsia"/>
        </w:rPr>
        <w:t>研究发现</w:t>
      </w:r>
      <w:r>
        <w:t>两组患者CPB后IL-6的含量均增加，并在CPB后2小时达到峰值。治疗组和对照组</w:t>
      </w:r>
      <w:r>
        <w:rPr>
          <w:rFonts w:hint="eastAsia"/>
        </w:rPr>
        <w:t>IL-6水平</w:t>
      </w:r>
      <w:r>
        <w:t>在所有时间点上均无显著差异。HA组IL-6与治疗结束时间的相关性为0.34，对照组为0.46。</w:t>
      </w:r>
    </w:p>
    <w:p w14:paraId="254454B2" w14:textId="77777777" w:rsidR="0050348B" w:rsidRDefault="00AD34DE">
      <w:pPr>
        <w:pStyle w:val="a8"/>
        <w:ind w:firstLineChars="200" w:firstLine="480"/>
      </w:pPr>
      <w:r>
        <w:rPr>
          <w:rFonts w:hint="eastAsia"/>
        </w:rPr>
        <w:t>研究发现</w:t>
      </w:r>
      <w:r>
        <w:t>一名HA</w:t>
      </w:r>
      <w:r>
        <w:rPr>
          <w:rFonts w:hint="eastAsia"/>
        </w:rPr>
        <w:t>组</w:t>
      </w:r>
      <w:r>
        <w:t>患者在麻醉诱导后IL-10升高（11.3 pg/ml）</w:t>
      </w:r>
      <w:r>
        <w:rPr>
          <w:rFonts w:hint="eastAsia"/>
        </w:rPr>
        <w:t>，</w:t>
      </w:r>
      <w:r>
        <w:t>在体外循环结束时达到峰值。2名HA和2名对照组</w:t>
      </w:r>
      <w:r>
        <w:rPr>
          <w:rFonts w:hint="eastAsia"/>
        </w:rPr>
        <w:t>患者</w:t>
      </w:r>
      <w:r>
        <w:t>IL-10于</w:t>
      </w:r>
      <w:r>
        <w:rPr>
          <w:rFonts w:hint="eastAsia"/>
        </w:rPr>
        <w:t>CPB</w:t>
      </w:r>
      <w:r>
        <w:t>前开始激活；其中一名也有IL-6的升高。CPB后24小时，对照组IL-10的下降更早</w:t>
      </w:r>
      <w:r>
        <w:rPr>
          <w:rFonts w:hint="eastAsia"/>
        </w:rPr>
        <w:t>且与HA组</w:t>
      </w:r>
      <w:r>
        <w:t>有显著差异。HA组IL-10与治疗结束时间的相关性为0.02，对照组为0.32。关于细胞因子进化分析的详细结果，见表2和图2和3。对TNF-α、IL-18和IL-1β</w:t>
      </w:r>
      <w:r>
        <w:rPr>
          <w:rFonts w:hint="eastAsia"/>
        </w:rPr>
        <w:t>未</w:t>
      </w:r>
      <w:r>
        <w:t>进行任何统计分析。</w:t>
      </w:r>
    </w:p>
    <w:p w14:paraId="4971FFA3" w14:textId="77777777" w:rsidR="0050348B" w:rsidRDefault="00AD34DE">
      <w:pPr>
        <w:pStyle w:val="a8"/>
      </w:pPr>
      <w:r>
        <w:rPr>
          <w:noProof/>
        </w:rPr>
        <w:drawing>
          <wp:inline distT="0" distB="0" distL="0" distR="0" wp14:anchorId="0D7E133C" wp14:editId="38B48B9C">
            <wp:extent cx="5274310" cy="3856355"/>
            <wp:effectExtent l="0" t="0" r="2540" b="0"/>
            <wp:docPr id="2" name="图片 2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表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8FB4A" w14:textId="77777777" w:rsidR="0050348B" w:rsidRDefault="00AD34DE">
      <w:pPr>
        <w:pStyle w:val="a8"/>
      </w:pPr>
      <w:r>
        <w:rPr>
          <w:noProof/>
        </w:rPr>
        <w:lastRenderedPageBreak/>
        <w:drawing>
          <wp:inline distT="0" distB="0" distL="0" distR="0" wp14:anchorId="015CBCF6" wp14:editId="5DC9E250">
            <wp:extent cx="4676775" cy="4619625"/>
            <wp:effectExtent l="0" t="0" r="9525" b="9525"/>
            <wp:docPr id="3" name="图片 3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0F04" w14:textId="77777777" w:rsidR="0050348B" w:rsidRDefault="00AD34DE">
      <w:pPr>
        <w:pStyle w:val="a8"/>
        <w:ind w:firstLineChars="200" w:firstLine="480"/>
      </w:pPr>
      <w:r>
        <w:rPr>
          <w:rFonts w:hint="eastAsia"/>
        </w:rPr>
        <w:t>研究发现</w:t>
      </w:r>
      <w:r>
        <w:t>两组术前</w:t>
      </w:r>
      <w:r>
        <w:rPr>
          <w:rFonts w:hint="eastAsia"/>
        </w:rPr>
        <w:t>TNF-α</w:t>
      </w:r>
      <w:r>
        <w:t>有显著差异，CPB后LPS诱导的TNF-α减少，但两组之间无显著差异。在2.POD，LPS诱导的TNF-α再次达到术前值，但在HA组显著降低，结果和5.POD一致。（表2）。</w:t>
      </w:r>
    </w:p>
    <w:p w14:paraId="33B5CAB8" w14:textId="77777777" w:rsidR="0050348B" w:rsidRDefault="00AD34DE">
      <w:pPr>
        <w:pStyle w:val="a8"/>
      </w:pPr>
      <w:r>
        <w:rPr>
          <w:noProof/>
        </w:rPr>
        <w:drawing>
          <wp:inline distT="0" distB="0" distL="0" distR="0" wp14:anchorId="24FBF2B4" wp14:editId="709AA7F3">
            <wp:extent cx="5274310" cy="1746885"/>
            <wp:effectExtent l="0" t="0" r="2540" b="5715"/>
            <wp:docPr id="4" name="图片 4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ECC82" w14:textId="77777777" w:rsidR="0050348B" w:rsidRDefault="00AD34DE">
      <w:pPr>
        <w:pStyle w:val="a8"/>
        <w:ind w:firstLineChars="200" w:firstLine="480"/>
      </w:pPr>
      <w:r>
        <w:t>治疗前</w:t>
      </w:r>
      <w:r>
        <w:rPr>
          <w:rFonts w:hint="eastAsia"/>
        </w:rPr>
        <w:t>两组</w:t>
      </w:r>
      <w:r>
        <w:t>HMGB1的基线水平显著不同，治疗后对照组</w:t>
      </w:r>
      <w:r>
        <w:rPr>
          <w:rFonts w:hint="eastAsia"/>
        </w:rPr>
        <w:t>H</w:t>
      </w:r>
      <w:r>
        <w:t>MGB1的最高水平是HA组的两倍，但在</w:t>
      </w:r>
      <w:r>
        <w:rPr>
          <w:rFonts w:hint="eastAsia"/>
        </w:rPr>
        <w:t>C</w:t>
      </w:r>
      <w:r>
        <w:t>PB后</w:t>
      </w:r>
      <w:r>
        <w:rPr>
          <w:rFonts w:hint="eastAsia"/>
        </w:rPr>
        <w:t>无明显</w:t>
      </w:r>
      <w:r>
        <w:t>差异。对29名患者（15 HA和14名对照组）进行hoc分析</w:t>
      </w:r>
      <w:r>
        <w:rPr>
          <w:rFonts w:hint="eastAsia"/>
        </w:rPr>
        <w:t>发现</w:t>
      </w:r>
      <w:r>
        <w:t>CRP或PCT等其他炎症标志物</w:t>
      </w:r>
      <w:r>
        <w:rPr>
          <w:rFonts w:hint="eastAsia"/>
        </w:rPr>
        <w:t>无统计学</w:t>
      </w:r>
      <w:r>
        <w:t>差异，白细胞、血小板、血红蛋白、白蛋白或纤维蛋白原水平也无差异。由于血液稀释，两组干预前后的差异分析导致血红蛋白、白蛋白和血小板显著减少；同样地，由于</w:t>
      </w:r>
      <w:r>
        <w:lastRenderedPageBreak/>
        <w:t>术后常见炎症，两组内CRP和白细胞显著增加。两组间的PCT、HMGB1或纤维蛋白原水平的变化没有差异</w:t>
      </w:r>
      <w:r>
        <w:rPr>
          <w:rFonts w:hint="eastAsia"/>
        </w:rPr>
        <w:t>（表3,4）</w:t>
      </w:r>
      <w:r>
        <w:t>。</w:t>
      </w:r>
    </w:p>
    <w:p w14:paraId="7E6884FE" w14:textId="77777777" w:rsidR="0050348B" w:rsidRDefault="00AD34DE">
      <w:pPr>
        <w:pStyle w:val="a8"/>
      </w:pPr>
      <w:r>
        <w:rPr>
          <w:noProof/>
        </w:rPr>
        <w:drawing>
          <wp:inline distT="0" distB="0" distL="0" distR="0" wp14:anchorId="7829F6D5" wp14:editId="7CEF3665">
            <wp:extent cx="5274310" cy="2731770"/>
            <wp:effectExtent l="0" t="0" r="2540" b="0"/>
            <wp:docPr id="5" name="图片 5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30873" w14:textId="77777777" w:rsidR="0050348B" w:rsidRDefault="00AD34DE">
      <w:pPr>
        <w:pStyle w:val="a8"/>
      </w:pPr>
      <w:r>
        <w:rPr>
          <w:noProof/>
        </w:rPr>
        <w:drawing>
          <wp:inline distT="0" distB="0" distL="0" distR="0" wp14:anchorId="0006CBFD" wp14:editId="1FCC4FCD">
            <wp:extent cx="3517265" cy="4402455"/>
            <wp:effectExtent l="0" t="0" r="6985" b="17145"/>
            <wp:docPr id="6" name="图片 6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7E723" w14:textId="77777777" w:rsidR="0050348B" w:rsidRDefault="00AD34DE">
      <w:pPr>
        <w:pStyle w:val="a8"/>
        <w:ind w:firstLineChars="200" w:firstLine="480"/>
      </w:pPr>
      <w:r>
        <w:t>对19名患者（9名HA组和10名对照组）进行了BIA</w:t>
      </w:r>
      <w:r>
        <w:rPr>
          <w:rFonts w:hint="eastAsia"/>
        </w:rPr>
        <w:t>分析</w:t>
      </w:r>
      <w:r>
        <w:t>，两组阻力、相位角或TBW的基线值</w:t>
      </w:r>
      <w:r>
        <w:rPr>
          <w:rFonts w:hint="eastAsia"/>
        </w:rPr>
        <w:t>无统计学</w:t>
      </w:r>
      <w:r>
        <w:t>差异（表5）。</w:t>
      </w:r>
    </w:p>
    <w:p w14:paraId="50DB0EDE" w14:textId="77777777" w:rsidR="0050348B" w:rsidRDefault="00AD34DE">
      <w:pPr>
        <w:pStyle w:val="a8"/>
      </w:pPr>
      <w:r>
        <w:rPr>
          <w:noProof/>
        </w:rPr>
        <w:lastRenderedPageBreak/>
        <w:drawing>
          <wp:inline distT="0" distB="0" distL="0" distR="0" wp14:anchorId="7C1E295D" wp14:editId="2C25BD9D">
            <wp:extent cx="5274310" cy="1586865"/>
            <wp:effectExtent l="0" t="0" r="2540" b="0"/>
            <wp:docPr id="7" name="图片 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63CE0" w14:textId="77777777" w:rsidR="0050348B" w:rsidRDefault="00AD34DE">
      <w:pPr>
        <w:pStyle w:val="a8"/>
        <w:ind w:firstLineChars="200" w:firstLine="480"/>
      </w:pPr>
      <w:r>
        <w:rPr>
          <w:rFonts w:hint="eastAsia"/>
        </w:rPr>
        <w:t>两组患者</w:t>
      </w:r>
      <w:r>
        <w:t>去甲肾上腺素、多巴酚丁胺或左西孟旦的需求量</w:t>
      </w:r>
      <w:r>
        <w:rPr>
          <w:rFonts w:hint="eastAsia"/>
        </w:rPr>
        <w:t>无</w:t>
      </w:r>
      <w:r>
        <w:t>差异。对照组8名患者接受多巴酚丁胺治疗，HA组11名患者接受多巴酚丁胺治疗；8名（5名HA组和3名对照组）患者接受左西孟旦治疗（表6）。</w:t>
      </w:r>
    </w:p>
    <w:p w14:paraId="7BEA6298" w14:textId="01E4F782" w:rsidR="0050348B" w:rsidRDefault="00AD34DE">
      <w:pPr>
        <w:pStyle w:val="a8"/>
      </w:pPr>
      <w:r>
        <w:rPr>
          <w:noProof/>
        </w:rPr>
        <w:drawing>
          <wp:inline distT="0" distB="0" distL="0" distR="0" wp14:anchorId="3EE7E802" wp14:editId="61BC6280">
            <wp:extent cx="5274310" cy="3349625"/>
            <wp:effectExtent l="0" t="0" r="2540" b="3175"/>
            <wp:docPr id="8" name="图片 8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7D938" w14:textId="77777777" w:rsidR="00E33FF0" w:rsidRDefault="00E33FF0">
      <w:pPr>
        <w:pStyle w:val="a8"/>
        <w:rPr>
          <w:rFonts w:hint="eastAsia"/>
        </w:rPr>
      </w:pPr>
    </w:p>
    <w:p w14:paraId="69D55FEC" w14:textId="77777777" w:rsidR="0050348B" w:rsidRPr="00C50AF2" w:rsidRDefault="00AD34DE">
      <w:pPr>
        <w:pStyle w:val="a8"/>
        <w:rPr>
          <w:b/>
          <w:bCs/>
          <w:sz w:val="28"/>
          <w:szCs w:val="28"/>
        </w:rPr>
      </w:pPr>
      <w:r w:rsidRPr="00C50AF2">
        <w:rPr>
          <w:rStyle w:val="h1"/>
          <w:b/>
          <w:bCs/>
          <w:sz w:val="28"/>
          <w:szCs w:val="28"/>
        </w:rPr>
        <w:t>结论</w:t>
      </w:r>
    </w:p>
    <w:p w14:paraId="39CDC092" w14:textId="77777777" w:rsidR="0050348B" w:rsidRDefault="00AD34DE">
      <w:pPr>
        <w:pStyle w:val="a8"/>
        <w:ind w:firstLineChars="200" w:firstLine="480"/>
      </w:pPr>
      <w:r>
        <w:t>我们认为在CPB回路上使用CytoSorb™的吸附器在技术上是可行的。HA组IL-10具有更持久的抗炎作用。我们观察到CPB期间使用CytoSorb吸附器装置治疗的患者中，促炎细胞因子的没有显著变化。</w:t>
      </w:r>
      <w:r>
        <w:rPr>
          <w:rFonts w:hint="eastAsia"/>
        </w:rPr>
        <w:t>未</w:t>
      </w:r>
      <w:r>
        <w:t>发现吸附器对患者临床结果有影响量。患者之间的细胞因子水平存在高度的个体差异，从而表现出</w:t>
      </w:r>
      <w:r>
        <w:rPr>
          <w:rFonts w:hint="eastAsia"/>
        </w:rPr>
        <w:t>异质性</w:t>
      </w:r>
      <w:r>
        <w:t>炎症反应。更大的同质性可以通过识别那些患者或程序来实现，这些患者或程序触发了CPB患者的过度炎症反应，如心内膜炎患者、需要低温心脏</w:t>
      </w:r>
      <w:r>
        <w:rPr>
          <w:rFonts w:hint="eastAsia"/>
        </w:rPr>
        <w:t>停搏的主动脉弓手术</w:t>
      </w:r>
      <w:r>
        <w:t>或移植手术。这一假设需要进一步研究。</w:t>
      </w:r>
    </w:p>
    <w:p w14:paraId="256160BB" w14:textId="77777777" w:rsidR="0050348B" w:rsidRDefault="0050348B"/>
    <w:sectPr w:rsidR="0050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ECFF" w14:textId="77777777" w:rsidR="00192116" w:rsidRDefault="00192116" w:rsidP="00503315">
      <w:r>
        <w:separator/>
      </w:r>
    </w:p>
  </w:endnote>
  <w:endnote w:type="continuationSeparator" w:id="0">
    <w:p w14:paraId="02DFF5CB" w14:textId="77777777" w:rsidR="00192116" w:rsidRDefault="00192116" w:rsidP="0050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285E" w14:textId="77777777" w:rsidR="00192116" w:rsidRDefault="00192116" w:rsidP="00503315">
      <w:r>
        <w:separator/>
      </w:r>
    </w:p>
  </w:footnote>
  <w:footnote w:type="continuationSeparator" w:id="0">
    <w:p w14:paraId="237A413F" w14:textId="77777777" w:rsidR="00192116" w:rsidRDefault="00192116" w:rsidP="0050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18"/>
    <w:rsid w:val="00104900"/>
    <w:rsid w:val="00192116"/>
    <w:rsid w:val="004D6E10"/>
    <w:rsid w:val="004E3039"/>
    <w:rsid w:val="004E3F29"/>
    <w:rsid w:val="00503315"/>
    <w:rsid w:val="0050348B"/>
    <w:rsid w:val="005E6EFF"/>
    <w:rsid w:val="00623067"/>
    <w:rsid w:val="006C3218"/>
    <w:rsid w:val="007D4838"/>
    <w:rsid w:val="00932987"/>
    <w:rsid w:val="00AD34DE"/>
    <w:rsid w:val="00BC1A39"/>
    <w:rsid w:val="00C50AF2"/>
    <w:rsid w:val="00CE26DB"/>
    <w:rsid w:val="00D53AD6"/>
    <w:rsid w:val="00D9471B"/>
    <w:rsid w:val="00DD5503"/>
    <w:rsid w:val="00E24CB3"/>
    <w:rsid w:val="00E33FF0"/>
    <w:rsid w:val="00F50054"/>
    <w:rsid w:val="00FC1C0F"/>
    <w:rsid w:val="06AB6F9E"/>
    <w:rsid w:val="083C1D9A"/>
    <w:rsid w:val="0C674DFD"/>
    <w:rsid w:val="0DC230E8"/>
    <w:rsid w:val="0FE973A8"/>
    <w:rsid w:val="13B20B99"/>
    <w:rsid w:val="13CE659D"/>
    <w:rsid w:val="1E015B58"/>
    <w:rsid w:val="1FBD3EDF"/>
    <w:rsid w:val="20FD1523"/>
    <w:rsid w:val="28FF616A"/>
    <w:rsid w:val="295569EC"/>
    <w:rsid w:val="2A033E18"/>
    <w:rsid w:val="30705AFF"/>
    <w:rsid w:val="31853BA4"/>
    <w:rsid w:val="33C3313A"/>
    <w:rsid w:val="3CD42AFF"/>
    <w:rsid w:val="3D840795"/>
    <w:rsid w:val="3F462A3D"/>
    <w:rsid w:val="4514350E"/>
    <w:rsid w:val="46A7212B"/>
    <w:rsid w:val="47AE2A7D"/>
    <w:rsid w:val="48F23943"/>
    <w:rsid w:val="493A4042"/>
    <w:rsid w:val="568D6980"/>
    <w:rsid w:val="5871120D"/>
    <w:rsid w:val="5BA028D0"/>
    <w:rsid w:val="5BD94A69"/>
    <w:rsid w:val="5EF62B23"/>
    <w:rsid w:val="61E21825"/>
    <w:rsid w:val="646C4808"/>
    <w:rsid w:val="65241C1A"/>
    <w:rsid w:val="67132E79"/>
    <w:rsid w:val="69414ABF"/>
    <w:rsid w:val="6B8D5E4A"/>
    <w:rsid w:val="6E2C5413"/>
    <w:rsid w:val="776D3AD1"/>
    <w:rsid w:val="79E81911"/>
    <w:rsid w:val="7A234C28"/>
    <w:rsid w:val="7EE1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C1D3B"/>
  <w15:docId w15:val="{B64B9E03-6BA7-451E-BC53-D9E2C6D1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punctuation">
    <w:name w:val="punctuation"/>
    <w:basedOn w:val="a0"/>
  </w:style>
  <w:style w:type="character" w:customStyle="1" w:styleId="h1">
    <w:name w:val="h1"/>
    <w:basedOn w:val="a0"/>
  </w:style>
  <w:style w:type="character" w:customStyle="1" w:styleId="h2">
    <w:name w:val="h2"/>
    <w:basedOn w:val="a0"/>
  </w:style>
  <w:style w:type="character" w:customStyle="1" w:styleId="h3">
    <w:name w:val="h3"/>
    <w:basedOn w:val="a0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啜 二</dc:creator>
  <cp:lastModifiedBy>周 荣华</cp:lastModifiedBy>
  <cp:revision>12</cp:revision>
  <dcterms:created xsi:type="dcterms:W3CDTF">2021-10-18T10:18:00Z</dcterms:created>
  <dcterms:modified xsi:type="dcterms:W3CDTF">2021-10-28T01:31:00Z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366FAB550BEE4D75AED0FD1D939255E1</vt:lpwstr>
  </property>
</Properties>
</file>