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F8B498" w14:textId="1A24B9D2" w:rsidR="00F60168" w:rsidRPr="008D3371" w:rsidRDefault="00122DE1" w:rsidP="008D3371">
      <w:pPr>
        <w:spacing w:line="360" w:lineRule="auto"/>
        <w:jc w:val="center"/>
        <w:rPr>
          <w:rFonts w:ascii="宋体" w:eastAsia="宋体" w:hAnsi="宋体"/>
          <w:b/>
          <w:bCs/>
          <w:sz w:val="30"/>
          <w:szCs w:val="30"/>
        </w:rPr>
      </w:pPr>
      <w:r w:rsidRPr="008D3371">
        <w:rPr>
          <w:rFonts w:ascii="宋体" w:eastAsia="宋体" w:hAnsi="宋体" w:hint="eastAsia"/>
          <w:b/>
          <w:bCs/>
          <w:sz w:val="30"/>
          <w:szCs w:val="30"/>
        </w:rPr>
        <w:t>原发性心源性休克应用</w:t>
      </w:r>
      <w:r w:rsidR="008C6A8A">
        <w:rPr>
          <w:rFonts w:ascii="宋体" w:eastAsia="宋体" w:hAnsi="宋体" w:hint="eastAsia"/>
          <w:b/>
          <w:bCs/>
          <w:sz w:val="30"/>
          <w:szCs w:val="30"/>
        </w:rPr>
        <w:t>V</w:t>
      </w:r>
      <w:r w:rsidR="008C6A8A">
        <w:rPr>
          <w:rFonts w:ascii="宋体" w:eastAsia="宋体" w:hAnsi="宋体"/>
          <w:b/>
          <w:bCs/>
          <w:sz w:val="30"/>
          <w:szCs w:val="30"/>
        </w:rPr>
        <w:t>A-ECMO</w:t>
      </w:r>
      <w:r w:rsidRPr="008D3371">
        <w:rPr>
          <w:rFonts w:ascii="宋体" w:eastAsia="宋体" w:hAnsi="宋体" w:hint="eastAsia"/>
          <w:b/>
          <w:bCs/>
          <w:sz w:val="30"/>
          <w:szCs w:val="30"/>
        </w:rPr>
        <w:t>期间</w:t>
      </w:r>
      <w:r w:rsidR="00FF4E56" w:rsidRPr="008D3371">
        <w:rPr>
          <w:rFonts w:ascii="宋体" w:eastAsia="宋体" w:hAnsi="宋体" w:hint="eastAsia"/>
          <w:b/>
          <w:bCs/>
          <w:sz w:val="30"/>
          <w:szCs w:val="30"/>
        </w:rPr>
        <w:t>直接或间接左心室减</w:t>
      </w:r>
      <w:r w:rsidRPr="008D3371">
        <w:rPr>
          <w:rFonts w:ascii="宋体" w:eastAsia="宋体" w:hAnsi="宋体" w:hint="eastAsia"/>
          <w:b/>
          <w:bCs/>
          <w:sz w:val="30"/>
          <w:szCs w:val="30"/>
        </w:rPr>
        <w:t>压</w:t>
      </w:r>
      <w:r w:rsidR="00FF4E56" w:rsidRPr="008D3371">
        <w:rPr>
          <w:rFonts w:ascii="宋体" w:eastAsia="宋体" w:hAnsi="宋体" w:hint="eastAsia"/>
          <w:b/>
          <w:bCs/>
          <w:sz w:val="30"/>
          <w:szCs w:val="30"/>
        </w:rPr>
        <w:t>治疗的临床疗效</w:t>
      </w:r>
    </w:p>
    <w:p w14:paraId="246F4A6B" w14:textId="77777777" w:rsidR="00F91860" w:rsidRDefault="00F91860" w:rsidP="008D3371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3571C3ED" w14:textId="6207B094" w:rsidR="001B6C37" w:rsidRDefault="001B6C37" w:rsidP="008D3371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翻译：</w:t>
      </w:r>
      <w:proofErr w:type="gramStart"/>
      <w:r>
        <w:rPr>
          <w:rFonts w:ascii="宋体" w:eastAsia="宋体" w:hAnsi="宋体" w:hint="eastAsia"/>
          <w:sz w:val="24"/>
          <w:szCs w:val="24"/>
        </w:rPr>
        <w:t>杜中涛</w:t>
      </w:r>
      <w:proofErr w:type="gramEnd"/>
      <w:r w:rsidR="00F91860">
        <w:rPr>
          <w:rFonts w:ascii="宋体" w:eastAsia="宋体" w:hAnsi="宋体" w:hint="eastAsia"/>
          <w:sz w:val="24"/>
          <w:szCs w:val="24"/>
        </w:rPr>
        <w:t xml:space="preserve"> </w:t>
      </w:r>
      <w:r w:rsidR="00F91860">
        <w:rPr>
          <w:rFonts w:ascii="宋体" w:eastAsia="宋体" w:hAnsi="宋体"/>
          <w:sz w:val="24"/>
          <w:szCs w:val="24"/>
        </w:rPr>
        <w:t xml:space="preserve">  </w:t>
      </w:r>
      <w:r w:rsidR="00F91860">
        <w:rPr>
          <w:rFonts w:ascii="宋体" w:eastAsia="宋体" w:hAnsi="宋体" w:hint="eastAsia"/>
          <w:sz w:val="24"/>
          <w:szCs w:val="24"/>
        </w:rPr>
        <w:t>首都医科大学附属北京安贞医院</w:t>
      </w:r>
    </w:p>
    <w:p w14:paraId="17045C01" w14:textId="4614C560" w:rsidR="00F91860" w:rsidRDefault="00F91860" w:rsidP="008D3371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审校：周荣华 </w:t>
      </w:r>
      <w:r>
        <w:rPr>
          <w:rFonts w:ascii="宋体" w:eastAsia="宋体" w:hAnsi="宋体"/>
          <w:sz w:val="24"/>
          <w:szCs w:val="24"/>
        </w:rPr>
        <w:t xml:space="preserve">  </w:t>
      </w:r>
      <w:r>
        <w:rPr>
          <w:rFonts w:ascii="宋体" w:eastAsia="宋体" w:hAnsi="宋体" w:hint="eastAsia"/>
          <w:sz w:val="24"/>
          <w:szCs w:val="24"/>
        </w:rPr>
        <w:t>四川大学华西医院</w:t>
      </w:r>
    </w:p>
    <w:p w14:paraId="0F19A5F9" w14:textId="77FD21F0" w:rsidR="00C03533" w:rsidRDefault="00C03533" w:rsidP="008D3371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450BDB37" w14:textId="4D91D63E" w:rsidR="008D3371" w:rsidRPr="008D3371" w:rsidRDefault="008D3371" w:rsidP="008D3371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 w:rsidRPr="008D3371">
        <w:rPr>
          <w:rFonts w:ascii="宋体" w:eastAsia="宋体" w:hAnsi="宋体" w:hint="eastAsia"/>
          <w:sz w:val="28"/>
          <w:szCs w:val="28"/>
        </w:rPr>
        <w:t>【</w:t>
      </w:r>
      <w:r w:rsidRPr="008D3371">
        <w:rPr>
          <w:rFonts w:ascii="宋体" w:eastAsia="宋体" w:hAnsi="宋体" w:hint="eastAsia"/>
          <w:sz w:val="28"/>
          <w:szCs w:val="28"/>
        </w:rPr>
        <w:t>摘要</w:t>
      </w:r>
      <w:r w:rsidRPr="008D3371">
        <w:rPr>
          <w:rFonts w:ascii="宋体" w:eastAsia="宋体" w:hAnsi="宋体" w:hint="eastAsia"/>
          <w:sz w:val="28"/>
          <w:szCs w:val="28"/>
        </w:rPr>
        <w:t>】</w:t>
      </w:r>
    </w:p>
    <w:p w14:paraId="78F88C48" w14:textId="419B3AAC" w:rsidR="00221C78" w:rsidRPr="00667199" w:rsidRDefault="00024054" w:rsidP="008D3371">
      <w:pPr>
        <w:spacing w:line="360" w:lineRule="auto"/>
        <w:ind w:left="-5" w:hanging="10"/>
        <w:rPr>
          <w:rFonts w:ascii="宋体" w:eastAsia="宋体" w:hAnsi="宋体" w:hint="eastAsia"/>
          <w:sz w:val="24"/>
          <w:szCs w:val="24"/>
        </w:rPr>
      </w:pPr>
      <w:r w:rsidRPr="008D3371">
        <w:rPr>
          <w:rStyle w:val="translated-span"/>
          <w:rFonts w:ascii="宋体" w:eastAsia="宋体" w:hAnsi="宋体"/>
          <w:b/>
          <w:bCs/>
          <w:sz w:val="24"/>
          <w:szCs w:val="24"/>
        </w:rPr>
        <w:t>目的</w:t>
      </w:r>
      <w:r w:rsidRPr="00667199">
        <w:rPr>
          <w:rStyle w:val="translated-span"/>
          <w:rFonts w:ascii="宋体" w:eastAsia="宋体" w:hAnsi="宋体"/>
          <w:sz w:val="24"/>
          <w:szCs w:val="24"/>
        </w:rPr>
        <w:t>：体外膜氧合（ECMO）患者左室（LV）扩张是一种</w:t>
      </w:r>
      <w:r w:rsidR="00C83DCA" w:rsidRPr="00667199">
        <w:rPr>
          <w:rStyle w:val="translated-span"/>
          <w:rFonts w:ascii="宋体" w:eastAsia="宋体" w:hAnsi="宋体" w:hint="eastAsia"/>
          <w:sz w:val="24"/>
          <w:szCs w:val="24"/>
        </w:rPr>
        <w:t>处理起来比较棘手</w:t>
      </w:r>
      <w:r w:rsidRPr="00667199">
        <w:rPr>
          <w:rStyle w:val="translated-span"/>
          <w:rFonts w:ascii="宋体" w:eastAsia="宋体" w:hAnsi="宋体"/>
          <w:sz w:val="24"/>
          <w:szCs w:val="24"/>
        </w:rPr>
        <w:t>的并发症。可通过主动脉内球囊反搏（IABP）间接实现左室</w:t>
      </w:r>
      <w:r w:rsidR="005F3764">
        <w:rPr>
          <w:rStyle w:val="translated-span"/>
          <w:rFonts w:ascii="宋体" w:eastAsia="宋体" w:hAnsi="宋体"/>
          <w:sz w:val="24"/>
          <w:szCs w:val="24"/>
        </w:rPr>
        <w:t>卸负荷</w:t>
      </w:r>
      <w:r w:rsidRPr="00667199">
        <w:rPr>
          <w:rStyle w:val="translated-span"/>
          <w:rFonts w:ascii="宋体" w:eastAsia="宋体" w:hAnsi="宋体"/>
          <w:sz w:val="24"/>
          <w:szCs w:val="24"/>
        </w:rPr>
        <w:t>，或直接通过</w:t>
      </w:r>
      <w:proofErr w:type="spellStart"/>
      <w:r w:rsidR="00C83DCA" w:rsidRPr="00667199">
        <w:rPr>
          <w:rStyle w:val="translated-span"/>
          <w:rFonts w:ascii="宋体" w:eastAsia="宋体" w:hAnsi="宋体" w:hint="eastAsia"/>
          <w:sz w:val="24"/>
          <w:szCs w:val="24"/>
        </w:rPr>
        <w:t>Impella</w:t>
      </w:r>
      <w:proofErr w:type="spellEnd"/>
      <w:r w:rsidRPr="00667199">
        <w:rPr>
          <w:rStyle w:val="translated-span"/>
          <w:rFonts w:ascii="宋体" w:eastAsia="宋体" w:hAnsi="宋体"/>
          <w:sz w:val="24"/>
          <w:szCs w:val="24"/>
        </w:rPr>
        <w:t>实现左室</w:t>
      </w:r>
      <w:r w:rsidR="005F3764">
        <w:rPr>
          <w:rStyle w:val="translated-span"/>
          <w:rFonts w:ascii="宋体" w:eastAsia="宋体" w:hAnsi="宋体"/>
          <w:sz w:val="24"/>
          <w:szCs w:val="24"/>
        </w:rPr>
        <w:t>卸负荷</w:t>
      </w:r>
      <w:r w:rsidRPr="00667199">
        <w:rPr>
          <w:rStyle w:val="translated-span"/>
          <w:rFonts w:ascii="宋体" w:eastAsia="宋体" w:hAnsi="宋体"/>
          <w:sz w:val="24"/>
          <w:szCs w:val="24"/>
        </w:rPr>
        <w:t>。</w:t>
      </w:r>
      <w:r w:rsidR="00C83DCA" w:rsidRPr="00667199">
        <w:rPr>
          <w:rStyle w:val="translated-span"/>
          <w:rFonts w:ascii="宋体" w:eastAsia="宋体" w:hAnsi="宋体" w:hint="eastAsia"/>
          <w:sz w:val="24"/>
          <w:szCs w:val="24"/>
        </w:rPr>
        <w:t>本研究</w:t>
      </w:r>
      <w:r w:rsidRPr="00667199">
        <w:rPr>
          <w:rStyle w:val="translated-span"/>
          <w:rFonts w:ascii="宋体" w:eastAsia="宋体" w:hAnsi="宋体"/>
          <w:sz w:val="24"/>
          <w:szCs w:val="24"/>
        </w:rPr>
        <w:t>试图评估IABP和</w:t>
      </w:r>
      <w:proofErr w:type="spellStart"/>
      <w:r w:rsidR="00C83DCA" w:rsidRPr="00667199">
        <w:rPr>
          <w:rStyle w:val="translated-span"/>
          <w:rFonts w:ascii="宋体" w:eastAsia="宋体" w:hAnsi="宋体" w:hint="eastAsia"/>
          <w:sz w:val="24"/>
          <w:szCs w:val="24"/>
        </w:rPr>
        <w:t>Impella</w:t>
      </w:r>
      <w:proofErr w:type="spellEnd"/>
      <w:r w:rsidRPr="00667199">
        <w:rPr>
          <w:rStyle w:val="translated-span"/>
          <w:rFonts w:ascii="宋体" w:eastAsia="宋体" w:hAnsi="宋体"/>
          <w:sz w:val="24"/>
          <w:szCs w:val="24"/>
        </w:rPr>
        <w:t>装置对</w:t>
      </w:r>
      <w:r w:rsidR="005F3764">
        <w:rPr>
          <w:rStyle w:val="translated-span"/>
          <w:rFonts w:ascii="宋体" w:eastAsia="宋体" w:hAnsi="宋体" w:hint="eastAsia"/>
          <w:sz w:val="24"/>
          <w:szCs w:val="24"/>
        </w:rPr>
        <w:t>使用</w:t>
      </w:r>
      <w:r w:rsidRPr="00667199">
        <w:rPr>
          <w:rStyle w:val="translated-span"/>
          <w:rFonts w:ascii="宋体" w:eastAsia="宋体" w:hAnsi="宋体"/>
          <w:sz w:val="24"/>
          <w:szCs w:val="24"/>
        </w:rPr>
        <w:t>VA ECMO支持患者的临床和血流动力学影响。</w:t>
      </w:r>
    </w:p>
    <w:p w14:paraId="73452E45" w14:textId="097D5DB2" w:rsidR="00024054" w:rsidRPr="00667199" w:rsidRDefault="00024054" w:rsidP="008D3371">
      <w:pPr>
        <w:spacing w:line="360" w:lineRule="auto"/>
        <w:ind w:left="-5" w:hanging="10"/>
        <w:rPr>
          <w:rFonts w:ascii="宋体" w:eastAsia="宋体" w:hAnsi="宋体"/>
          <w:sz w:val="24"/>
          <w:szCs w:val="24"/>
        </w:rPr>
      </w:pPr>
      <w:r w:rsidRPr="008D3371">
        <w:rPr>
          <w:rStyle w:val="translated-span"/>
          <w:rFonts w:ascii="宋体" w:eastAsia="宋体" w:hAnsi="宋体"/>
          <w:b/>
          <w:bCs/>
          <w:sz w:val="24"/>
          <w:szCs w:val="24"/>
        </w:rPr>
        <w:t>方法：</w:t>
      </w:r>
      <w:r w:rsidRPr="00667199">
        <w:rPr>
          <w:rStyle w:val="translated-span"/>
          <w:rFonts w:ascii="宋体" w:eastAsia="宋体" w:hAnsi="宋体"/>
          <w:sz w:val="24"/>
          <w:szCs w:val="24"/>
        </w:rPr>
        <w:t>从2015年1月到2020年6月，</w:t>
      </w:r>
      <w:r w:rsidR="00C83DCA" w:rsidRPr="00667199">
        <w:rPr>
          <w:rStyle w:val="translated-span"/>
          <w:rFonts w:ascii="宋体" w:eastAsia="宋体" w:hAnsi="宋体" w:hint="eastAsia"/>
          <w:sz w:val="24"/>
          <w:szCs w:val="24"/>
        </w:rPr>
        <w:t>对本机构</w:t>
      </w:r>
      <w:r w:rsidRPr="00667199">
        <w:rPr>
          <w:rStyle w:val="translated-span"/>
          <w:rFonts w:ascii="宋体" w:eastAsia="宋体" w:hAnsi="宋体"/>
          <w:sz w:val="24"/>
          <w:szCs w:val="24"/>
        </w:rPr>
        <w:t>VA ECMO患者进行了回顾性研究。患者分为单纯ECMO或ECMO伴LV</w:t>
      </w:r>
      <w:r w:rsidR="005F3764">
        <w:rPr>
          <w:rStyle w:val="translated-span"/>
          <w:rFonts w:ascii="宋体" w:eastAsia="宋体" w:hAnsi="宋体"/>
          <w:sz w:val="24"/>
          <w:szCs w:val="24"/>
        </w:rPr>
        <w:t>卸负荷</w:t>
      </w:r>
      <w:r w:rsidRPr="00667199">
        <w:rPr>
          <w:rStyle w:val="translated-span"/>
          <w:rFonts w:ascii="宋体" w:eastAsia="宋体" w:hAnsi="宋体"/>
          <w:sz w:val="24"/>
          <w:szCs w:val="24"/>
        </w:rPr>
        <w:t>。LV</w:t>
      </w:r>
      <w:r w:rsidR="005F3764">
        <w:rPr>
          <w:rStyle w:val="translated-span"/>
          <w:rFonts w:ascii="宋体" w:eastAsia="宋体" w:hAnsi="宋体"/>
          <w:sz w:val="24"/>
          <w:szCs w:val="24"/>
        </w:rPr>
        <w:t>卸负荷</w:t>
      </w:r>
      <w:r w:rsidRPr="00667199">
        <w:rPr>
          <w:rStyle w:val="translated-span"/>
          <w:rFonts w:ascii="宋体" w:eastAsia="宋体" w:hAnsi="宋体"/>
          <w:sz w:val="24"/>
          <w:szCs w:val="24"/>
        </w:rPr>
        <w:t>的</w:t>
      </w:r>
      <w:r w:rsidR="00AC00AD" w:rsidRPr="00667199">
        <w:rPr>
          <w:rStyle w:val="translated-span"/>
          <w:rFonts w:ascii="宋体" w:eastAsia="宋体" w:hAnsi="宋体" w:hint="eastAsia"/>
          <w:sz w:val="24"/>
          <w:szCs w:val="24"/>
        </w:rPr>
        <w:t>方法</w:t>
      </w:r>
      <w:r w:rsidRPr="00667199">
        <w:rPr>
          <w:rStyle w:val="translated-span"/>
          <w:rFonts w:ascii="宋体" w:eastAsia="宋体" w:hAnsi="宋体"/>
          <w:sz w:val="24"/>
          <w:szCs w:val="24"/>
        </w:rPr>
        <w:t>是ECMO加IABP或ECMO加</w:t>
      </w:r>
      <w:proofErr w:type="spellStart"/>
      <w:r w:rsidR="00AC00AD" w:rsidRPr="00667199">
        <w:rPr>
          <w:rStyle w:val="translated-span"/>
          <w:rFonts w:ascii="宋体" w:eastAsia="宋体" w:hAnsi="宋体" w:hint="eastAsia"/>
          <w:sz w:val="24"/>
          <w:szCs w:val="24"/>
        </w:rPr>
        <w:t>Impella</w:t>
      </w:r>
      <w:proofErr w:type="spellEnd"/>
      <w:r w:rsidRPr="00667199">
        <w:rPr>
          <w:rStyle w:val="translated-span"/>
          <w:rFonts w:ascii="宋体" w:eastAsia="宋体" w:hAnsi="宋体"/>
          <w:sz w:val="24"/>
          <w:szCs w:val="24"/>
        </w:rPr>
        <w:t>。记录了与</w:t>
      </w:r>
      <w:r w:rsidR="00AC00AD" w:rsidRPr="00667199">
        <w:rPr>
          <w:rStyle w:val="translated-span"/>
          <w:rFonts w:ascii="宋体" w:eastAsia="宋体" w:hAnsi="宋体" w:hint="eastAsia"/>
          <w:sz w:val="24"/>
          <w:szCs w:val="24"/>
        </w:rPr>
        <w:t>相关</w:t>
      </w:r>
      <w:r w:rsidRPr="00667199">
        <w:rPr>
          <w:rStyle w:val="translated-span"/>
          <w:rFonts w:ascii="宋体" w:eastAsia="宋体" w:hAnsi="宋体"/>
          <w:sz w:val="24"/>
          <w:szCs w:val="24"/>
        </w:rPr>
        <w:t>装置启动相关的基线特征、存活率、并发症和血流动力学变化。</w:t>
      </w:r>
    </w:p>
    <w:p w14:paraId="42173829" w14:textId="7B269D91" w:rsidR="00221C78" w:rsidRDefault="00221C78" w:rsidP="008D3371">
      <w:pPr>
        <w:spacing w:line="360" w:lineRule="auto"/>
        <w:ind w:left="-15"/>
        <w:rPr>
          <w:rStyle w:val="translated-span"/>
          <w:rFonts w:ascii="宋体" w:eastAsia="宋体" w:hAnsi="宋体"/>
          <w:sz w:val="24"/>
          <w:szCs w:val="24"/>
        </w:rPr>
      </w:pPr>
      <w:r>
        <w:rPr>
          <w:rStyle w:val="translated-span"/>
          <w:rFonts w:ascii="宋体" w:eastAsia="宋体" w:hAnsi="宋体" w:hint="eastAsia"/>
          <w:b/>
          <w:bCs/>
          <w:sz w:val="24"/>
          <w:szCs w:val="24"/>
        </w:rPr>
        <w:t>研究结局</w:t>
      </w:r>
      <w:r w:rsidR="00024054" w:rsidRPr="008D3371">
        <w:rPr>
          <w:rStyle w:val="translated-span"/>
          <w:rFonts w:ascii="宋体" w:eastAsia="宋体" w:hAnsi="宋体"/>
          <w:b/>
          <w:bCs/>
          <w:sz w:val="24"/>
          <w:szCs w:val="24"/>
        </w:rPr>
        <w:t>：</w:t>
      </w:r>
      <w:r w:rsidR="002D7ED7" w:rsidRPr="00667199">
        <w:rPr>
          <w:rStyle w:val="translated-span"/>
          <w:rFonts w:ascii="宋体" w:eastAsia="宋体" w:hAnsi="宋体"/>
          <w:sz w:val="24"/>
          <w:szCs w:val="24"/>
        </w:rPr>
        <w:t>主要</w:t>
      </w:r>
      <w:r w:rsidR="00DF1C49" w:rsidRPr="00667199">
        <w:rPr>
          <w:rStyle w:val="translated-span"/>
          <w:rFonts w:ascii="宋体" w:eastAsia="宋体" w:hAnsi="宋体" w:hint="eastAsia"/>
          <w:sz w:val="24"/>
          <w:szCs w:val="24"/>
        </w:rPr>
        <w:t>研究终点</w:t>
      </w:r>
      <w:r w:rsidR="002D7ED7" w:rsidRPr="00667199">
        <w:rPr>
          <w:rStyle w:val="translated-span"/>
          <w:rFonts w:ascii="宋体" w:eastAsia="宋体" w:hAnsi="宋体"/>
          <w:sz w:val="24"/>
          <w:szCs w:val="24"/>
        </w:rPr>
        <w:t>是存活到出院。次要</w:t>
      </w:r>
      <w:r w:rsidR="00DF1C49" w:rsidRPr="00667199">
        <w:rPr>
          <w:rStyle w:val="translated-span"/>
          <w:rFonts w:ascii="宋体" w:eastAsia="宋体" w:hAnsi="宋体" w:hint="eastAsia"/>
          <w:sz w:val="24"/>
          <w:szCs w:val="24"/>
        </w:rPr>
        <w:t>终点</w:t>
      </w:r>
      <w:r w:rsidR="002D7ED7" w:rsidRPr="00667199">
        <w:rPr>
          <w:rStyle w:val="translated-span"/>
          <w:rFonts w:ascii="宋体" w:eastAsia="宋体" w:hAnsi="宋体"/>
          <w:sz w:val="24"/>
          <w:szCs w:val="24"/>
        </w:rPr>
        <w:t>包括180天存活率、心肌恢复、接受ECMO时的不良事件以及装置启动24小时后的血流动力学变化。在存活至出院的患者中，通过后续临床</w:t>
      </w:r>
      <w:r w:rsidR="0006474A" w:rsidRPr="00667199">
        <w:rPr>
          <w:rStyle w:val="translated-span"/>
          <w:rFonts w:ascii="宋体" w:eastAsia="宋体" w:hAnsi="宋体" w:hint="eastAsia"/>
          <w:sz w:val="24"/>
          <w:szCs w:val="24"/>
        </w:rPr>
        <w:t>治疗的</w:t>
      </w:r>
      <w:r w:rsidR="002D7ED7" w:rsidRPr="00667199">
        <w:rPr>
          <w:rStyle w:val="translated-span"/>
          <w:rFonts w:ascii="宋体" w:eastAsia="宋体" w:hAnsi="宋体"/>
          <w:sz w:val="24"/>
          <w:szCs w:val="24"/>
        </w:rPr>
        <w:t>医疗记录来评估180天存活率；这些数据适用于所有研究的患者。心肌</w:t>
      </w:r>
      <w:r w:rsidR="0006474A" w:rsidRPr="00667199">
        <w:rPr>
          <w:rStyle w:val="translated-span"/>
          <w:rFonts w:ascii="宋体" w:eastAsia="宋体" w:hAnsi="宋体" w:hint="eastAsia"/>
          <w:sz w:val="24"/>
          <w:szCs w:val="24"/>
        </w:rPr>
        <w:t>功能</w:t>
      </w:r>
      <w:r w:rsidR="002D7ED7" w:rsidRPr="00667199">
        <w:rPr>
          <w:rStyle w:val="translated-span"/>
          <w:rFonts w:ascii="宋体" w:eastAsia="宋体" w:hAnsi="宋体"/>
          <w:sz w:val="24"/>
          <w:szCs w:val="24"/>
        </w:rPr>
        <w:t>恢复被定义为能够脱离机械循环支持，存活30天或</w:t>
      </w:r>
      <w:r w:rsidR="002952B5" w:rsidRPr="00667199">
        <w:rPr>
          <w:rStyle w:val="translated-span"/>
          <w:rFonts w:ascii="宋体" w:eastAsia="宋体" w:hAnsi="宋体" w:hint="eastAsia"/>
          <w:sz w:val="24"/>
          <w:szCs w:val="24"/>
        </w:rPr>
        <w:t>存活</w:t>
      </w:r>
      <w:r w:rsidR="002D7ED7" w:rsidRPr="00667199">
        <w:rPr>
          <w:rStyle w:val="translated-span"/>
          <w:rFonts w:ascii="宋体" w:eastAsia="宋体" w:hAnsi="宋体"/>
          <w:sz w:val="24"/>
          <w:szCs w:val="24"/>
        </w:rPr>
        <w:t>出院，无需</w:t>
      </w:r>
      <w:r w:rsidR="002952B5" w:rsidRPr="00667199">
        <w:rPr>
          <w:rStyle w:val="translated-span"/>
          <w:rFonts w:ascii="宋体" w:eastAsia="宋体" w:hAnsi="宋体" w:hint="eastAsia"/>
          <w:sz w:val="24"/>
          <w:szCs w:val="24"/>
        </w:rPr>
        <w:t>行</w:t>
      </w:r>
      <w:r w:rsidR="002D7ED7" w:rsidRPr="00667199">
        <w:rPr>
          <w:rStyle w:val="translated-span"/>
          <w:rFonts w:ascii="宋体" w:eastAsia="宋体" w:hAnsi="宋体"/>
          <w:sz w:val="24"/>
          <w:szCs w:val="24"/>
        </w:rPr>
        <w:t>移植或LVAD植入。不良事件包括：需要肢体缺血手术（如血栓切除术、</w:t>
      </w:r>
      <w:r w:rsidR="00241EE3" w:rsidRPr="00667199">
        <w:rPr>
          <w:rStyle w:val="translated-span"/>
          <w:rFonts w:ascii="宋体" w:eastAsia="宋体" w:hAnsi="宋体" w:hint="eastAsia"/>
          <w:sz w:val="24"/>
          <w:szCs w:val="24"/>
        </w:rPr>
        <w:t>骨</w:t>
      </w:r>
      <w:r w:rsidR="002D7ED7" w:rsidRPr="00667199">
        <w:rPr>
          <w:rStyle w:val="translated-span"/>
          <w:rFonts w:ascii="宋体" w:eastAsia="宋体" w:hAnsi="宋体"/>
          <w:sz w:val="24"/>
          <w:szCs w:val="24"/>
        </w:rPr>
        <w:t>筋膜切开术、截肢术）、开始持续静脉-静脉血液滤过、中风、感染、新的非中风神经功能缺损，如脑病或癫痫发作，以及导致死亡、再次手术、住院或大量包装红细胞输注的出血事件（ECMO前7天任何24小时内</w:t>
      </w:r>
      <w:r w:rsidR="00241EE3" w:rsidRPr="00667199">
        <w:rPr>
          <w:rStyle w:val="translated-span"/>
          <w:rFonts w:ascii="宋体" w:eastAsia="宋体" w:hAnsi="宋体" w:hint="eastAsia"/>
          <w:sz w:val="24"/>
          <w:szCs w:val="24"/>
        </w:rPr>
        <w:t>输注</w:t>
      </w:r>
      <w:r w:rsidR="002D7ED7" w:rsidRPr="00667199">
        <w:rPr>
          <w:rStyle w:val="translated-span"/>
          <w:rFonts w:ascii="宋体" w:eastAsia="宋体" w:hAnsi="宋体"/>
          <w:sz w:val="24"/>
          <w:szCs w:val="24"/>
        </w:rPr>
        <w:t>4个或更多单位，或ECMO开始后7天任何</w:t>
      </w:r>
      <w:r w:rsidR="00241EE3" w:rsidRPr="00667199">
        <w:rPr>
          <w:rStyle w:val="translated-span"/>
          <w:rFonts w:ascii="宋体" w:eastAsia="宋体" w:hAnsi="宋体" w:hint="eastAsia"/>
          <w:sz w:val="24"/>
          <w:szCs w:val="24"/>
        </w:rPr>
        <w:t>的</w:t>
      </w:r>
      <w:r w:rsidR="002D7ED7" w:rsidRPr="00667199">
        <w:rPr>
          <w:rStyle w:val="translated-span"/>
          <w:rFonts w:ascii="宋体" w:eastAsia="宋体" w:hAnsi="宋体"/>
          <w:sz w:val="24"/>
          <w:szCs w:val="24"/>
        </w:rPr>
        <w:t xml:space="preserve">红细胞输注）。 </w:t>
      </w:r>
    </w:p>
    <w:p w14:paraId="1377AFA7" w14:textId="77777777" w:rsidR="008D3371" w:rsidRPr="00667199" w:rsidRDefault="008D3371" w:rsidP="008D3371">
      <w:pPr>
        <w:spacing w:line="360" w:lineRule="auto"/>
        <w:ind w:left="-15"/>
        <w:rPr>
          <w:rStyle w:val="translated-span"/>
          <w:rFonts w:ascii="宋体" w:eastAsia="宋体" w:hAnsi="宋体"/>
          <w:sz w:val="24"/>
          <w:szCs w:val="24"/>
        </w:rPr>
      </w:pPr>
    </w:p>
    <w:p w14:paraId="26044EB5" w14:textId="3466CB13" w:rsidR="00221C78" w:rsidRDefault="002D7ED7" w:rsidP="008D3371">
      <w:pPr>
        <w:spacing w:line="360" w:lineRule="auto"/>
        <w:ind w:left="-15" w:firstLineChars="200" w:firstLine="480"/>
        <w:rPr>
          <w:rStyle w:val="translated-span"/>
          <w:rFonts w:ascii="宋体" w:eastAsia="宋体" w:hAnsi="宋体"/>
          <w:sz w:val="24"/>
          <w:szCs w:val="24"/>
        </w:rPr>
      </w:pPr>
      <w:r w:rsidRPr="00667199">
        <w:rPr>
          <w:rStyle w:val="translated-span"/>
          <w:rFonts w:ascii="宋体" w:eastAsia="宋体" w:hAnsi="宋体"/>
          <w:sz w:val="24"/>
          <w:szCs w:val="24"/>
        </w:rPr>
        <w:t>为了比较患者</w:t>
      </w:r>
      <w:r w:rsidR="00241EE3" w:rsidRPr="00667199">
        <w:rPr>
          <w:rStyle w:val="translated-span"/>
          <w:rFonts w:ascii="宋体" w:eastAsia="宋体" w:hAnsi="宋体" w:hint="eastAsia"/>
          <w:sz w:val="24"/>
          <w:szCs w:val="24"/>
        </w:rPr>
        <w:t>基本</w:t>
      </w:r>
      <w:r w:rsidRPr="00667199">
        <w:rPr>
          <w:rStyle w:val="translated-span"/>
          <w:rFonts w:ascii="宋体" w:eastAsia="宋体" w:hAnsi="宋体"/>
          <w:sz w:val="24"/>
          <w:szCs w:val="24"/>
        </w:rPr>
        <w:t>背景特征，</w:t>
      </w:r>
      <w:r w:rsidR="00241EE3" w:rsidRPr="00667199">
        <w:rPr>
          <w:rStyle w:val="translated-span"/>
          <w:rFonts w:ascii="宋体" w:eastAsia="宋体" w:hAnsi="宋体" w:hint="eastAsia"/>
          <w:sz w:val="24"/>
          <w:szCs w:val="24"/>
        </w:rPr>
        <w:t>本研究</w:t>
      </w:r>
      <w:r w:rsidRPr="00667199">
        <w:rPr>
          <w:rStyle w:val="translated-span"/>
          <w:rFonts w:ascii="宋体" w:eastAsia="宋体" w:hAnsi="宋体"/>
          <w:sz w:val="24"/>
          <w:szCs w:val="24"/>
        </w:rPr>
        <w:t>评估了8种临床相关</w:t>
      </w:r>
      <w:r w:rsidR="00241EE3" w:rsidRPr="00667199">
        <w:rPr>
          <w:rStyle w:val="translated-span"/>
          <w:rFonts w:ascii="宋体" w:eastAsia="宋体" w:hAnsi="宋体" w:hint="eastAsia"/>
          <w:sz w:val="24"/>
          <w:szCs w:val="24"/>
        </w:rPr>
        <w:t>疾</w:t>
      </w:r>
      <w:r w:rsidRPr="00667199">
        <w:rPr>
          <w:rStyle w:val="translated-span"/>
          <w:rFonts w:ascii="宋体" w:eastAsia="宋体" w:hAnsi="宋体"/>
          <w:sz w:val="24"/>
          <w:szCs w:val="24"/>
        </w:rPr>
        <w:t>病的发病率：冠状动脉疾病、充血性心力衰竭、高脂血症、糖尿病、高血压、慢性阻塞性肺疾病、既往中风和慢性肾病。如果患者在接受ECMO治疗期间由经过培训的提供者记录</w:t>
      </w:r>
      <w:r w:rsidRPr="00667199">
        <w:rPr>
          <w:rStyle w:val="translated-span"/>
          <w:rFonts w:ascii="宋体" w:eastAsia="宋体" w:hAnsi="宋体"/>
          <w:sz w:val="24"/>
          <w:szCs w:val="24"/>
        </w:rPr>
        <w:lastRenderedPageBreak/>
        <w:t>在病历中，则该患者被归类为患有上述疾病之一。还定义了ECMO的7种特定病因：急性心肌梗死（AMI）、</w:t>
      </w:r>
      <w:proofErr w:type="gramStart"/>
      <w:r w:rsidRPr="00667199">
        <w:rPr>
          <w:rStyle w:val="translated-span"/>
          <w:rFonts w:ascii="宋体" w:eastAsia="宋体" w:hAnsi="宋体"/>
          <w:sz w:val="24"/>
          <w:szCs w:val="24"/>
        </w:rPr>
        <w:t>急性失</w:t>
      </w:r>
      <w:proofErr w:type="gramEnd"/>
      <w:r w:rsidRPr="00667199">
        <w:rPr>
          <w:rStyle w:val="translated-span"/>
          <w:rFonts w:ascii="宋体" w:eastAsia="宋体" w:hAnsi="宋体"/>
          <w:sz w:val="24"/>
          <w:szCs w:val="24"/>
        </w:rPr>
        <w:t>代偿性心力衰竭、室性心律失常（室性心动过速或颤动）、体外膜氧合心肺复苏（ECPR）、心肌炎、肺栓塞或其他。AMI是指心肌缺血导致心肌损伤或坏死，并由异常的心脏生物标志物证实。ECPR是指在常规心肺复苏无法实现持续自主循环恢复的患者中，同时</w:t>
      </w:r>
      <w:r w:rsidR="00241EE3" w:rsidRPr="00667199">
        <w:rPr>
          <w:rStyle w:val="translated-span"/>
          <w:rFonts w:ascii="宋体" w:eastAsia="宋体" w:hAnsi="宋体"/>
          <w:sz w:val="24"/>
          <w:szCs w:val="24"/>
        </w:rPr>
        <w:t>快速</w:t>
      </w:r>
      <w:r w:rsidRPr="00667199">
        <w:rPr>
          <w:rStyle w:val="translated-span"/>
          <w:rFonts w:ascii="宋体" w:eastAsia="宋体" w:hAnsi="宋体"/>
          <w:sz w:val="24"/>
          <w:szCs w:val="24"/>
        </w:rPr>
        <w:t>应用ECMO进行循环支持。</w:t>
      </w:r>
      <w:r w:rsidR="00241EE3" w:rsidRPr="00667199">
        <w:rPr>
          <w:rStyle w:val="translated-span"/>
          <w:rFonts w:ascii="宋体" w:eastAsia="宋体" w:hAnsi="宋体" w:hint="eastAsia"/>
          <w:sz w:val="24"/>
          <w:szCs w:val="24"/>
        </w:rPr>
        <w:t>经过</w:t>
      </w:r>
      <w:r w:rsidRPr="00667199">
        <w:rPr>
          <w:rStyle w:val="translated-span"/>
          <w:rFonts w:ascii="宋体" w:eastAsia="宋体" w:hAnsi="宋体"/>
          <w:sz w:val="24"/>
          <w:szCs w:val="24"/>
        </w:rPr>
        <w:t>常规心肺复苏，恢复自主循环后给予ECMO的患者不符合ECPR的定义。</w:t>
      </w:r>
    </w:p>
    <w:p w14:paraId="616DD43D" w14:textId="5FA4D2AD" w:rsidR="00221C78" w:rsidRDefault="00221C78" w:rsidP="008D3371">
      <w:pPr>
        <w:spacing w:line="360" w:lineRule="auto"/>
        <w:ind w:left="-15" w:firstLineChars="200" w:firstLine="480"/>
        <w:rPr>
          <w:rStyle w:val="translated-span"/>
          <w:rFonts w:ascii="宋体" w:eastAsia="宋体" w:hAnsi="宋体"/>
          <w:sz w:val="24"/>
          <w:szCs w:val="24"/>
        </w:rPr>
      </w:pPr>
    </w:p>
    <w:p w14:paraId="51330D77" w14:textId="6EF6262F" w:rsidR="00221C78" w:rsidRPr="008D3371" w:rsidRDefault="00221C78" w:rsidP="008D3371">
      <w:pPr>
        <w:spacing w:line="360" w:lineRule="auto"/>
        <w:rPr>
          <w:rStyle w:val="translated-span"/>
          <w:rFonts w:ascii="宋体" w:eastAsia="宋体" w:hAnsi="宋体"/>
          <w:b/>
          <w:bCs/>
          <w:sz w:val="24"/>
          <w:szCs w:val="24"/>
        </w:rPr>
      </w:pPr>
      <w:r>
        <w:rPr>
          <w:rStyle w:val="translated-span"/>
          <w:rFonts w:ascii="宋体" w:eastAsia="宋体" w:hAnsi="宋体" w:hint="eastAsia"/>
          <w:b/>
          <w:bCs/>
          <w:sz w:val="24"/>
          <w:szCs w:val="24"/>
        </w:rPr>
        <w:t>研究</w:t>
      </w:r>
      <w:r w:rsidRPr="008D3371">
        <w:rPr>
          <w:rStyle w:val="translated-span"/>
          <w:rFonts w:ascii="宋体" w:eastAsia="宋体" w:hAnsi="宋体" w:hint="eastAsia"/>
          <w:b/>
          <w:bCs/>
          <w:sz w:val="24"/>
          <w:szCs w:val="24"/>
        </w:rPr>
        <w:t>结果</w:t>
      </w:r>
    </w:p>
    <w:p w14:paraId="7760931A" w14:textId="6D4F6C90" w:rsidR="00DF1C49" w:rsidRDefault="00C20481" w:rsidP="008D3371">
      <w:pPr>
        <w:spacing w:line="360" w:lineRule="auto"/>
        <w:ind w:left="-15" w:firstLineChars="200" w:firstLine="480"/>
        <w:rPr>
          <w:rStyle w:val="translated-span"/>
          <w:rFonts w:ascii="宋体" w:eastAsia="宋体" w:hAnsi="宋体"/>
          <w:sz w:val="24"/>
          <w:szCs w:val="24"/>
        </w:rPr>
      </w:pPr>
      <w:r w:rsidRPr="00667199">
        <w:rPr>
          <w:rStyle w:val="translated-span"/>
          <w:rFonts w:ascii="宋体" w:eastAsia="宋体" w:hAnsi="宋体"/>
          <w:sz w:val="24"/>
          <w:szCs w:val="24"/>
        </w:rPr>
        <w:t>在研究期间，143名患者单独接受ECMO，而140名患者接受ECMO</w:t>
      </w:r>
      <w:r w:rsidRPr="00667199">
        <w:rPr>
          <w:rStyle w:val="translated-span"/>
          <w:rFonts w:ascii="宋体" w:eastAsia="宋体" w:hAnsi="宋体" w:hint="eastAsia"/>
          <w:sz w:val="24"/>
          <w:szCs w:val="24"/>
        </w:rPr>
        <w:t>联合</w:t>
      </w:r>
      <w:r w:rsidRPr="00667199">
        <w:rPr>
          <w:rStyle w:val="translated-span"/>
          <w:rFonts w:ascii="宋体" w:eastAsia="宋体" w:hAnsi="宋体"/>
          <w:sz w:val="24"/>
          <w:szCs w:val="24"/>
        </w:rPr>
        <w:t>LV</w:t>
      </w:r>
      <w:r w:rsidR="005F3764">
        <w:rPr>
          <w:rStyle w:val="translated-span"/>
          <w:rFonts w:ascii="宋体" w:eastAsia="宋体" w:hAnsi="宋体"/>
          <w:sz w:val="24"/>
          <w:szCs w:val="24"/>
        </w:rPr>
        <w:t>卸负荷</w:t>
      </w:r>
      <w:r w:rsidRPr="00667199">
        <w:rPr>
          <w:rStyle w:val="translated-span"/>
          <w:rFonts w:ascii="宋体" w:eastAsia="宋体" w:hAnsi="宋体"/>
          <w:sz w:val="24"/>
          <w:szCs w:val="24"/>
        </w:rPr>
        <w:t>（68名ECMO伴IABP，72名ECMO伴</w:t>
      </w:r>
      <w:proofErr w:type="spellStart"/>
      <w:r w:rsidRPr="00667199">
        <w:rPr>
          <w:rStyle w:val="translated-span"/>
          <w:rFonts w:ascii="宋体" w:eastAsia="宋体" w:hAnsi="宋体"/>
          <w:sz w:val="24"/>
          <w:szCs w:val="24"/>
        </w:rPr>
        <w:t>Impella</w:t>
      </w:r>
      <w:proofErr w:type="spellEnd"/>
      <w:r w:rsidRPr="00667199">
        <w:rPr>
          <w:rStyle w:val="translated-span"/>
          <w:rFonts w:ascii="宋体" w:eastAsia="宋体" w:hAnsi="宋体"/>
          <w:sz w:val="24"/>
          <w:szCs w:val="24"/>
        </w:rPr>
        <w:t>）。与ECMO单独</w:t>
      </w:r>
      <w:r w:rsidRPr="00667199">
        <w:rPr>
          <w:rStyle w:val="translated-span"/>
          <w:rFonts w:ascii="宋体" w:eastAsia="宋体" w:hAnsi="宋体" w:hint="eastAsia"/>
          <w:sz w:val="24"/>
          <w:szCs w:val="24"/>
        </w:rPr>
        <w:t>应用</w:t>
      </w:r>
      <w:r w:rsidRPr="00667199">
        <w:rPr>
          <w:rStyle w:val="translated-span"/>
          <w:rFonts w:ascii="宋体" w:eastAsia="宋体" w:hAnsi="宋体"/>
          <w:sz w:val="24"/>
          <w:szCs w:val="24"/>
        </w:rPr>
        <w:t>或ECMO</w:t>
      </w:r>
      <w:r w:rsidRPr="00667199">
        <w:rPr>
          <w:rStyle w:val="translated-span"/>
          <w:rFonts w:ascii="宋体" w:eastAsia="宋体" w:hAnsi="宋体" w:hint="eastAsia"/>
          <w:sz w:val="24"/>
          <w:szCs w:val="24"/>
        </w:rPr>
        <w:t>联合</w:t>
      </w:r>
      <w:r w:rsidRPr="00667199">
        <w:rPr>
          <w:rStyle w:val="translated-span"/>
          <w:rFonts w:ascii="宋体" w:eastAsia="宋体" w:hAnsi="宋体"/>
          <w:sz w:val="24"/>
          <w:szCs w:val="24"/>
        </w:rPr>
        <w:t>IABP相比，ECMO</w:t>
      </w:r>
      <w:r w:rsidRPr="00667199">
        <w:rPr>
          <w:rStyle w:val="translated-span"/>
          <w:rFonts w:ascii="宋体" w:eastAsia="宋体" w:hAnsi="宋体" w:hint="eastAsia"/>
          <w:sz w:val="24"/>
          <w:szCs w:val="24"/>
        </w:rPr>
        <w:t>联合</w:t>
      </w:r>
      <w:proofErr w:type="spellStart"/>
      <w:r w:rsidRPr="00667199">
        <w:rPr>
          <w:rStyle w:val="translated-span"/>
          <w:rFonts w:ascii="宋体" w:eastAsia="宋体" w:hAnsi="宋体" w:hint="eastAsia"/>
          <w:sz w:val="24"/>
          <w:szCs w:val="24"/>
        </w:rPr>
        <w:t>Impella</w:t>
      </w:r>
      <w:proofErr w:type="spellEnd"/>
      <w:r w:rsidRPr="00667199">
        <w:rPr>
          <w:rStyle w:val="translated-span"/>
          <w:rFonts w:ascii="宋体" w:eastAsia="宋体" w:hAnsi="宋体"/>
          <w:sz w:val="24"/>
          <w:szCs w:val="24"/>
        </w:rPr>
        <w:t>患者的出血事件发生率更高（52.8%</w:t>
      </w:r>
      <w:r w:rsidR="008C6A8A">
        <w:rPr>
          <w:rStyle w:val="translated-span"/>
          <w:rFonts w:ascii="宋体" w:eastAsia="宋体" w:hAnsi="宋体"/>
          <w:sz w:val="24"/>
          <w:szCs w:val="24"/>
        </w:rPr>
        <w:t xml:space="preserve"> </w:t>
      </w:r>
      <w:r w:rsidRPr="00667199">
        <w:rPr>
          <w:rStyle w:val="translated-span"/>
          <w:rFonts w:ascii="宋体" w:eastAsia="宋体" w:hAnsi="宋体" w:hint="eastAsia"/>
          <w:sz w:val="24"/>
          <w:szCs w:val="24"/>
        </w:rPr>
        <w:t>vs</w:t>
      </w:r>
      <w:r w:rsidR="008C6A8A">
        <w:rPr>
          <w:rStyle w:val="translated-span"/>
          <w:rFonts w:ascii="宋体" w:eastAsia="宋体" w:hAnsi="宋体"/>
          <w:sz w:val="24"/>
          <w:szCs w:val="24"/>
        </w:rPr>
        <w:t xml:space="preserve"> </w:t>
      </w:r>
      <w:r w:rsidRPr="00667199">
        <w:rPr>
          <w:rStyle w:val="translated-span"/>
          <w:rFonts w:ascii="宋体" w:eastAsia="宋体" w:hAnsi="宋体"/>
          <w:sz w:val="24"/>
          <w:szCs w:val="24"/>
        </w:rPr>
        <w:t>37.1%</w:t>
      </w:r>
      <w:r w:rsidR="008C6A8A">
        <w:rPr>
          <w:rStyle w:val="translated-span"/>
          <w:rFonts w:ascii="宋体" w:eastAsia="宋体" w:hAnsi="宋体"/>
          <w:sz w:val="24"/>
          <w:szCs w:val="24"/>
        </w:rPr>
        <w:t xml:space="preserve"> </w:t>
      </w:r>
      <w:r w:rsidRPr="00667199">
        <w:rPr>
          <w:rStyle w:val="translated-span"/>
          <w:rFonts w:ascii="宋体" w:eastAsia="宋体" w:hAnsi="宋体" w:hint="eastAsia"/>
          <w:sz w:val="24"/>
          <w:szCs w:val="24"/>
        </w:rPr>
        <w:t>vs</w:t>
      </w:r>
      <w:r w:rsidR="008C6A8A">
        <w:rPr>
          <w:rStyle w:val="translated-span"/>
          <w:rFonts w:ascii="宋体" w:eastAsia="宋体" w:hAnsi="宋体"/>
          <w:sz w:val="24"/>
          <w:szCs w:val="24"/>
        </w:rPr>
        <w:t xml:space="preserve"> </w:t>
      </w:r>
      <w:r w:rsidRPr="00667199">
        <w:rPr>
          <w:rStyle w:val="translated-span"/>
          <w:rFonts w:ascii="宋体" w:eastAsia="宋体" w:hAnsi="宋体"/>
          <w:sz w:val="24"/>
          <w:szCs w:val="24"/>
        </w:rPr>
        <w:t>17.7%；P&lt;0.0001）。与单纯</w:t>
      </w:r>
      <w:r w:rsidRPr="00667199">
        <w:rPr>
          <w:rStyle w:val="translated-span"/>
          <w:rFonts w:ascii="宋体" w:eastAsia="宋体" w:hAnsi="宋体" w:hint="eastAsia"/>
          <w:sz w:val="24"/>
          <w:szCs w:val="24"/>
        </w:rPr>
        <w:t>使用</w:t>
      </w:r>
      <w:r w:rsidRPr="00667199">
        <w:rPr>
          <w:rStyle w:val="translated-span"/>
          <w:rFonts w:ascii="宋体" w:eastAsia="宋体" w:hAnsi="宋体"/>
          <w:sz w:val="24"/>
          <w:szCs w:val="24"/>
        </w:rPr>
        <w:t>ECMO相比，ECMO联合IABP患者在180天时的生存率更</w:t>
      </w:r>
      <w:r w:rsidRPr="00667199">
        <w:rPr>
          <w:rStyle w:val="translated-span"/>
          <w:rFonts w:ascii="宋体" w:eastAsia="宋体" w:hAnsi="宋体" w:hint="eastAsia"/>
          <w:sz w:val="24"/>
          <w:szCs w:val="24"/>
        </w:rPr>
        <w:t>高</w:t>
      </w:r>
      <w:r w:rsidRPr="00667199">
        <w:rPr>
          <w:rStyle w:val="translated-span"/>
          <w:rFonts w:ascii="宋体" w:eastAsia="宋体" w:hAnsi="宋体"/>
          <w:sz w:val="24"/>
          <w:szCs w:val="24"/>
        </w:rPr>
        <w:t>，而ECMO联合IMPELLA患者的生存率没有差异。在多变量Cox风险分析中，年龄、男性、基线乳酸、基线肌</w:t>
      </w:r>
      <w:proofErr w:type="gramStart"/>
      <w:r w:rsidRPr="00667199">
        <w:rPr>
          <w:rStyle w:val="translated-span"/>
          <w:rFonts w:ascii="宋体" w:eastAsia="宋体" w:hAnsi="宋体"/>
          <w:sz w:val="24"/>
          <w:szCs w:val="24"/>
        </w:rPr>
        <w:t>酐</w:t>
      </w:r>
      <w:proofErr w:type="gramEnd"/>
      <w:r w:rsidR="00667199" w:rsidRPr="00667199">
        <w:rPr>
          <w:rStyle w:val="translated-span"/>
          <w:rFonts w:ascii="宋体" w:eastAsia="宋体" w:hAnsi="宋体" w:hint="eastAsia"/>
          <w:sz w:val="24"/>
          <w:szCs w:val="24"/>
        </w:rPr>
        <w:t>、E</w:t>
      </w:r>
      <w:r w:rsidR="00667199" w:rsidRPr="00667199">
        <w:rPr>
          <w:rStyle w:val="translated-span"/>
          <w:rFonts w:ascii="宋体" w:eastAsia="宋体" w:hAnsi="宋体"/>
          <w:sz w:val="24"/>
          <w:szCs w:val="24"/>
        </w:rPr>
        <w:t>CPR</w:t>
      </w:r>
      <w:r w:rsidRPr="00667199">
        <w:rPr>
          <w:rStyle w:val="translated-span"/>
          <w:rFonts w:ascii="宋体" w:eastAsia="宋体" w:hAnsi="宋体"/>
          <w:sz w:val="24"/>
          <w:szCs w:val="24"/>
        </w:rPr>
        <w:t>和ECMO前</w:t>
      </w:r>
      <w:r w:rsidR="00667199" w:rsidRPr="00667199">
        <w:rPr>
          <w:rStyle w:val="translated-span"/>
          <w:rFonts w:ascii="宋体" w:eastAsia="宋体" w:hAnsi="宋体" w:hint="eastAsia"/>
          <w:sz w:val="24"/>
          <w:szCs w:val="24"/>
        </w:rPr>
        <w:t>使用</w:t>
      </w:r>
      <w:r w:rsidRPr="00667199">
        <w:rPr>
          <w:rStyle w:val="translated-span"/>
          <w:rFonts w:ascii="宋体" w:eastAsia="宋体" w:hAnsi="宋体"/>
          <w:sz w:val="24"/>
          <w:szCs w:val="24"/>
        </w:rPr>
        <w:t>IABP与死亡率降低相关。IABP组ECMO</w:t>
      </w:r>
      <w:r w:rsidR="00667199" w:rsidRPr="00667199">
        <w:rPr>
          <w:rStyle w:val="translated-span"/>
          <w:rFonts w:ascii="宋体" w:eastAsia="宋体" w:hAnsi="宋体" w:hint="eastAsia"/>
          <w:sz w:val="24"/>
          <w:szCs w:val="24"/>
        </w:rPr>
        <w:t>患者</w:t>
      </w:r>
      <w:r w:rsidRPr="00667199">
        <w:rPr>
          <w:rStyle w:val="translated-span"/>
          <w:rFonts w:ascii="宋体" w:eastAsia="宋体" w:hAnsi="宋体"/>
          <w:sz w:val="24"/>
          <w:szCs w:val="24"/>
        </w:rPr>
        <w:t>与</w:t>
      </w:r>
      <w:proofErr w:type="spellStart"/>
      <w:r w:rsidRPr="00667199">
        <w:rPr>
          <w:rStyle w:val="translated-span"/>
          <w:rFonts w:ascii="宋体" w:eastAsia="宋体" w:hAnsi="宋体"/>
          <w:sz w:val="24"/>
          <w:szCs w:val="24"/>
        </w:rPr>
        <w:t>Im</w:t>
      </w:r>
      <w:r w:rsidR="00667199" w:rsidRPr="00667199">
        <w:rPr>
          <w:rStyle w:val="translated-span"/>
          <w:rFonts w:ascii="宋体" w:eastAsia="宋体" w:hAnsi="宋体" w:hint="eastAsia"/>
          <w:sz w:val="24"/>
          <w:szCs w:val="24"/>
        </w:rPr>
        <w:t>pella</w:t>
      </w:r>
      <w:proofErr w:type="spellEnd"/>
      <w:r w:rsidRPr="00667199">
        <w:rPr>
          <w:rStyle w:val="translated-span"/>
          <w:rFonts w:ascii="宋体" w:eastAsia="宋体" w:hAnsi="宋体"/>
          <w:sz w:val="24"/>
          <w:szCs w:val="24"/>
        </w:rPr>
        <w:t>组ECMO</w:t>
      </w:r>
      <w:r w:rsidR="00667199" w:rsidRPr="00667199">
        <w:rPr>
          <w:rStyle w:val="translated-span"/>
          <w:rFonts w:ascii="宋体" w:eastAsia="宋体" w:hAnsi="宋体" w:hint="eastAsia"/>
          <w:sz w:val="24"/>
          <w:szCs w:val="24"/>
        </w:rPr>
        <w:t>患者</w:t>
      </w:r>
      <w:r w:rsidRPr="00667199">
        <w:rPr>
          <w:rStyle w:val="translated-span"/>
          <w:rFonts w:ascii="宋体" w:eastAsia="宋体" w:hAnsi="宋体"/>
          <w:sz w:val="24"/>
          <w:szCs w:val="24"/>
        </w:rPr>
        <w:t>的血流动力学变化无显著差异。</w:t>
      </w:r>
    </w:p>
    <w:p w14:paraId="1B04BC36" w14:textId="77777777" w:rsidR="008C6A8A" w:rsidRPr="00667199" w:rsidRDefault="008C6A8A" w:rsidP="008D3371">
      <w:pPr>
        <w:spacing w:line="360" w:lineRule="auto"/>
        <w:ind w:left="-15" w:firstLineChars="200" w:firstLine="480"/>
        <w:rPr>
          <w:rStyle w:val="translated-span"/>
          <w:rFonts w:ascii="宋体" w:eastAsia="宋体" w:hAnsi="宋体"/>
          <w:sz w:val="24"/>
          <w:szCs w:val="24"/>
        </w:rPr>
      </w:pPr>
    </w:p>
    <w:p w14:paraId="5D78CF47" w14:textId="0EC4C90E" w:rsidR="00241EE3" w:rsidRPr="00667199" w:rsidRDefault="00DF1C49" w:rsidP="008D3371">
      <w:pPr>
        <w:spacing w:line="360" w:lineRule="auto"/>
        <w:ind w:left="-15" w:firstLine="200"/>
        <w:rPr>
          <w:rStyle w:val="translated-span"/>
          <w:rFonts w:ascii="宋体" w:eastAsia="宋体" w:hAnsi="宋体"/>
          <w:sz w:val="24"/>
          <w:szCs w:val="24"/>
        </w:rPr>
      </w:pPr>
      <w:r w:rsidRPr="00667199">
        <w:rPr>
          <w:rStyle w:val="translated-span"/>
          <w:rFonts w:ascii="宋体" w:eastAsia="宋体" w:hAnsi="宋体"/>
          <w:noProof/>
          <w:sz w:val="24"/>
          <w:szCs w:val="24"/>
        </w:rPr>
        <w:drawing>
          <wp:inline distT="0" distB="0" distL="0" distR="0" wp14:anchorId="2392EF16" wp14:editId="21B3779D">
            <wp:extent cx="5274310" cy="30930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1C7E6" w14:textId="47A2640B" w:rsidR="0004719A" w:rsidRDefault="00C20481" w:rsidP="008D3371">
      <w:pPr>
        <w:spacing w:line="360" w:lineRule="auto"/>
        <w:ind w:left="-15" w:firstLine="200"/>
        <w:rPr>
          <w:rStyle w:val="translated-span"/>
          <w:rFonts w:ascii="宋体" w:eastAsia="宋体" w:hAnsi="宋体"/>
          <w:sz w:val="24"/>
          <w:szCs w:val="24"/>
        </w:rPr>
      </w:pPr>
      <w:r w:rsidRPr="00667199">
        <w:rPr>
          <w:rStyle w:val="translated-span"/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0CDB8AB4" wp14:editId="07414971">
            <wp:extent cx="5274310" cy="275272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4C3F3" w14:textId="523E25D5" w:rsidR="00667199" w:rsidRDefault="00667199" w:rsidP="008D3371">
      <w:pPr>
        <w:spacing w:line="360" w:lineRule="auto"/>
        <w:ind w:left="-15" w:firstLine="200"/>
        <w:rPr>
          <w:rStyle w:val="translated-span"/>
          <w:rFonts w:ascii="宋体" w:eastAsia="宋体" w:hAnsi="宋体"/>
          <w:sz w:val="24"/>
          <w:szCs w:val="24"/>
        </w:rPr>
      </w:pPr>
    </w:p>
    <w:p w14:paraId="353E2D14" w14:textId="6C1F5A1A" w:rsidR="00667199" w:rsidRDefault="00667199" w:rsidP="008D3371">
      <w:pPr>
        <w:spacing w:line="360" w:lineRule="auto"/>
        <w:ind w:left="-15" w:firstLine="200"/>
        <w:rPr>
          <w:rStyle w:val="translated-span"/>
          <w:rFonts w:ascii="宋体" w:eastAsia="宋体" w:hAnsi="宋体"/>
          <w:sz w:val="24"/>
          <w:szCs w:val="24"/>
        </w:rPr>
      </w:pPr>
      <w:r w:rsidRPr="00667199">
        <w:rPr>
          <w:rStyle w:val="translated-span"/>
          <w:rFonts w:ascii="宋体" w:eastAsia="宋体" w:hAnsi="宋体"/>
          <w:noProof/>
          <w:sz w:val="24"/>
          <w:szCs w:val="24"/>
        </w:rPr>
        <w:drawing>
          <wp:inline distT="0" distB="0" distL="0" distR="0" wp14:anchorId="7D589C04" wp14:editId="52F3C026">
            <wp:extent cx="5274310" cy="30867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2F5EC" w14:textId="719A4366" w:rsidR="00667199" w:rsidRPr="00667199" w:rsidRDefault="00667199" w:rsidP="008D3371">
      <w:pPr>
        <w:spacing w:line="360" w:lineRule="auto"/>
        <w:ind w:left="-15" w:firstLine="200"/>
        <w:rPr>
          <w:rStyle w:val="translated-span"/>
          <w:rFonts w:ascii="宋体" w:eastAsia="宋体" w:hAnsi="宋体" w:hint="eastAsia"/>
          <w:sz w:val="24"/>
          <w:szCs w:val="24"/>
        </w:rPr>
      </w:pPr>
      <w:r w:rsidRPr="00667199">
        <w:rPr>
          <w:rStyle w:val="translated-span"/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26FEAEB8" wp14:editId="64644BDF">
            <wp:extent cx="5274310" cy="365506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0B638" w14:textId="3D80C08D" w:rsidR="00C20481" w:rsidRPr="00667199" w:rsidRDefault="00C20481" w:rsidP="008D3371">
      <w:pPr>
        <w:spacing w:line="360" w:lineRule="auto"/>
        <w:ind w:left="-15" w:firstLine="200"/>
        <w:rPr>
          <w:rStyle w:val="translated-span"/>
          <w:rFonts w:ascii="宋体" w:eastAsia="宋体" w:hAnsi="宋体"/>
          <w:sz w:val="24"/>
          <w:szCs w:val="24"/>
        </w:rPr>
      </w:pPr>
      <w:r w:rsidRPr="00667199">
        <w:rPr>
          <w:rStyle w:val="translated-span"/>
          <w:rFonts w:ascii="宋体" w:eastAsia="宋体" w:hAnsi="宋体"/>
          <w:noProof/>
          <w:sz w:val="24"/>
          <w:szCs w:val="24"/>
        </w:rPr>
        <w:drawing>
          <wp:inline distT="0" distB="0" distL="0" distR="0" wp14:anchorId="243D6A3B" wp14:editId="24A733F3">
            <wp:extent cx="5274310" cy="18376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7C1CF" w14:textId="6DE0DEBA" w:rsidR="00C20481" w:rsidRPr="00667199" w:rsidRDefault="00C20481" w:rsidP="008D3371">
      <w:pPr>
        <w:spacing w:line="360" w:lineRule="auto"/>
        <w:ind w:left="-15" w:firstLine="200"/>
        <w:rPr>
          <w:rStyle w:val="translated-span"/>
          <w:rFonts w:ascii="宋体" w:eastAsia="宋体" w:hAnsi="宋体"/>
          <w:sz w:val="24"/>
          <w:szCs w:val="24"/>
        </w:rPr>
      </w:pPr>
      <w:r w:rsidRPr="00667199">
        <w:rPr>
          <w:rStyle w:val="translated-span"/>
          <w:rFonts w:ascii="宋体" w:eastAsia="宋体" w:hAnsi="宋体"/>
          <w:noProof/>
          <w:sz w:val="24"/>
          <w:szCs w:val="24"/>
        </w:rPr>
        <w:drawing>
          <wp:inline distT="0" distB="0" distL="0" distR="0" wp14:anchorId="0459D5D4" wp14:editId="4D7A74D5">
            <wp:extent cx="5274310" cy="283591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D6D1F" w14:textId="2B195AB3" w:rsidR="00C20481" w:rsidRDefault="00C20481" w:rsidP="008D3371">
      <w:pPr>
        <w:spacing w:line="360" w:lineRule="auto"/>
        <w:ind w:left="-15" w:firstLine="200"/>
        <w:rPr>
          <w:rStyle w:val="translated-span"/>
          <w:rFonts w:ascii="宋体" w:eastAsia="宋体" w:hAnsi="宋体"/>
          <w:sz w:val="24"/>
          <w:szCs w:val="24"/>
        </w:rPr>
      </w:pPr>
      <w:r w:rsidRPr="00667199">
        <w:rPr>
          <w:rStyle w:val="translated-span"/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051DF98B" wp14:editId="6926A912">
            <wp:extent cx="5274310" cy="195072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94BD7" w14:textId="77777777" w:rsidR="00F91860" w:rsidRPr="00667199" w:rsidRDefault="00F91860" w:rsidP="008D3371">
      <w:pPr>
        <w:spacing w:line="360" w:lineRule="auto"/>
        <w:ind w:left="-15" w:firstLine="200"/>
        <w:rPr>
          <w:rStyle w:val="translated-span"/>
          <w:rFonts w:ascii="宋体" w:eastAsia="宋体" w:hAnsi="宋体"/>
          <w:sz w:val="24"/>
          <w:szCs w:val="24"/>
        </w:rPr>
      </w:pPr>
    </w:p>
    <w:p w14:paraId="3F33EAF7" w14:textId="77777777" w:rsidR="008D3371" w:rsidRDefault="00024054" w:rsidP="008D3371">
      <w:pPr>
        <w:spacing w:line="360" w:lineRule="auto"/>
        <w:rPr>
          <w:rStyle w:val="translated-span"/>
          <w:rFonts w:ascii="宋体" w:eastAsia="宋体" w:hAnsi="宋体"/>
          <w:b/>
          <w:bCs/>
          <w:sz w:val="24"/>
          <w:szCs w:val="24"/>
        </w:rPr>
      </w:pPr>
      <w:r w:rsidRPr="008D3371">
        <w:rPr>
          <w:rStyle w:val="translated-span"/>
          <w:rFonts w:ascii="宋体" w:eastAsia="宋体" w:hAnsi="宋体"/>
          <w:b/>
          <w:bCs/>
          <w:sz w:val="28"/>
          <w:szCs w:val="28"/>
        </w:rPr>
        <w:t>结论</w:t>
      </w:r>
    </w:p>
    <w:p w14:paraId="2924D17F" w14:textId="21DDFD16" w:rsidR="00FF4E56" w:rsidRPr="00A145AA" w:rsidRDefault="001B6C37" w:rsidP="00A145AA">
      <w:pPr>
        <w:spacing w:line="360" w:lineRule="auto"/>
        <w:ind w:firstLineChars="200" w:firstLine="480"/>
        <w:rPr>
          <w:rFonts w:ascii="宋体" w:eastAsia="宋体" w:hAnsi="宋体" w:hint="eastAsia"/>
          <w:b/>
          <w:bCs/>
          <w:sz w:val="24"/>
          <w:szCs w:val="24"/>
        </w:rPr>
      </w:pPr>
      <w:r w:rsidRPr="001B6C37">
        <w:rPr>
          <w:rStyle w:val="translated-span"/>
          <w:rFonts w:ascii="宋体" w:eastAsia="宋体" w:hAnsi="宋体"/>
          <w:sz w:val="24"/>
          <w:szCs w:val="24"/>
        </w:rPr>
        <w:t>研究结果表明，尽管联合应用IABP或</w:t>
      </w:r>
      <w:proofErr w:type="spellStart"/>
      <w:r w:rsidRPr="001B6C37">
        <w:rPr>
          <w:rStyle w:val="translated-span"/>
          <w:rFonts w:ascii="宋体" w:eastAsia="宋体" w:hAnsi="宋体" w:hint="eastAsia"/>
          <w:sz w:val="24"/>
          <w:szCs w:val="24"/>
        </w:rPr>
        <w:t>Impella</w:t>
      </w:r>
      <w:proofErr w:type="spellEnd"/>
      <w:r w:rsidRPr="001B6C37">
        <w:rPr>
          <w:rStyle w:val="translated-span"/>
          <w:rFonts w:ascii="宋体" w:eastAsia="宋体" w:hAnsi="宋体"/>
          <w:sz w:val="24"/>
          <w:szCs w:val="24"/>
        </w:rPr>
        <w:t>与VA ECMO具有相似的血液动力学结果，但在心源性休克患者中，</w:t>
      </w:r>
      <w:proofErr w:type="gramStart"/>
      <w:r w:rsidRPr="001B6C37">
        <w:rPr>
          <w:rStyle w:val="translated-span"/>
          <w:rFonts w:ascii="宋体" w:eastAsia="宋体" w:hAnsi="宋体"/>
          <w:sz w:val="24"/>
          <w:szCs w:val="24"/>
        </w:rPr>
        <w:t>仅联合</w:t>
      </w:r>
      <w:proofErr w:type="gramEnd"/>
      <w:r w:rsidRPr="001B6C37">
        <w:rPr>
          <w:rStyle w:val="translated-span"/>
          <w:rFonts w:ascii="宋体" w:eastAsia="宋体" w:hAnsi="宋体"/>
          <w:sz w:val="24"/>
          <w:szCs w:val="24"/>
        </w:rPr>
        <w:t>应用IABP可能降低与VA ECMO相关的发病率和死亡率。这些发现为未来的前瞻性对照试验提供了依据，以进一步指导该人群左室扩张的</w:t>
      </w:r>
      <w:proofErr w:type="gramStart"/>
      <w:r w:rsidRPr="001B6C37">
        <w:rPr>
          <w:rStyle w:val="translated-span"/>
          <w:rFonts w:ascii="宋体" w:eastAsia="宋体" w:hAnsi="宋体"/>
          <w:sz w:val="24"/>
          <w:szCs w:val="24"/>
        </w:rPr>
        <w:t>最佳管理</w:t>
      </w:r>
      <w:proofErr w:type="gramEnd"/>
      <w:r w:rsidRPr="001B6C37">
        <w:rPr>
          <w:rStyle w:val="translated-span"/>
          <w:rFonts w:ascii="宋体" w:eastAsia="宋体" w:hAnsi="宋体"/>
          <w:sz w:val="24"/>
          <w:szCs w:val="24"/>
        </w:rPr>
        <w:t>实践。</w:t>
      </w:r>
      <w:r w:rsidRPr="00667199">
        <w:rPr>
          <w:rStyle w:val="translated-span"/>
          <w:rFonts w:ascii="宋体" w:eastAsia="宋体" w:hAnsi="宋体"/>
          <w:sz w:val="24"/>
          <w:szCs w:val="24"/>
        </w:rPr>
        <w:t>在接受VA ECMO治疗心源性休克的患者中，IABP联合支持可能有助于降低发病率并提高180天生存率。</w:t>
      </w:r>
    </w:p>
    <w:sectPr w:rsidR="00FF4E56" w:rsidRPr="00A145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6A3EDC" w14:textId="77777777" w:rsidR="00D66B70" w:rsidRDefault="00D66B70" w:rsidP="00F91860">
      <w:r>
        <w:separator/>
      </w:r>
    </w:p>
  </w:endnote>
  <w:endnote w:type="continuationSeparator" w:id="0">
    <w:p w14:paraId="3134D404" w14:textId="77777777" w:rsidR="00D66B70" w:rsidRDefault="00D66B70" w:rsidP="00F918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AB43FE" w14:textId="77777777" w:rsidR="00D66B70" w:rsidRDefault="00D66B70" w:rsidP="00F91860">
      <w:r>
        <w:separator/>
      </w:r>
    </w:p>
  </w:footnote>
  <w:footnote w:type="continuationSeparator" w:id="0">
    <w:p w14:paraId="03A7AB5A" w14:textId="77777777" w:rsidR="00D66B70" w:rsidRDefault="00D66B70" w:rsidP="00F918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734"/>
    <w:rsid w:val="00024054"/>
    <w:rsid w:val="0004719A"/>
    <w:rsid w:val="0006474A"/>
    <w:rsid w:val="00122DE1"/>
    <w:rsid w:val="00181543"/>
    <w:rsid w:val="001B6C37"/>
    <w:rsid w:val="001C6B9D"/>
    <w:rsid w:val="00221C78"/>
    <w:rsid w:val="00241EE3"/>
    <w:rsid w:val="002952B5"/>
    <w:rsid w:val="002D7ED7"/>
    <w:rsid w:val="00347734"/>
    <w:rsid w:val="005E1F40"/>
    <w:rsid w:val="005F3764"/>
    <w:rsid w:val="00667199"/>
    <w:rsid w:val="008C6A8A"/>
    <w:rsid w:val="008D3371"/>
    <w:rsid w:val="0096373A"/>
    <w:rsid w:val="00A145AA"/>
    <w:rsid w:val="00AC00AD"/>
    <w:rsid w:val="00C03533"/>
    <w:rsid w:val="00C20481"/>
    <w:rsid w:val="00C83DCA"/>
    <w:rsid w:val="00D66B70"/>
    <w:rsid w:val="00DF1C49"/>
    <w:rsid w:val="00F60168"/>
    <w:rsid w:val="00F91860"/>
    <w:rsid w:val="00FF4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A04DFB"/>
  <w15:chartTrackingRefBased/>
  <w15:docId w15:val="{1992CDDE-467D-42F7-BD8D-674CA6462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ranslated-span">
    <w:name w:val="translated-span"/>
    <w:basedOn w:val="a0"/>
    <w:rsid w:val="00024054"/>
  </w:style>
  <w:style w:type="paragraph" w:styleId="a3">
    <w:name w:val="header"/>
    <w:basedOn w:val="a"/>
    <w:link w:val="a4"/>
    <w:uiPriority w:val="99"/>
    <w:unhideWhenUsed/>
    <w:rsid w:val="00F918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9186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918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91860"/>
    <w:rPr>
      <w:sz w:val="18"/>
      <w:szCs w:val="18"/>
    </w:rPr>
  </w:style>
  <w:style w:type="paragraph" w:styleId="a7">
    <w:name w:val="Revision"/>
    <w:hidden/>
    <w:uiPriority w:val="99"/>
    <w:semiHidden/>
    <w:rsid w:val="00F918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226</Words>
  <Characters>1293</Characters>
  <Application>Microsoft Office Word</Application>
  <DocSecurity>0</DocSecurity>
  <Lines>10</Lines>
  <Paragraphs>3</Paragraphs>
  <ScaleCrop>false</ScaleCrop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Zhongtao</dc:creator>
  <cp:keywords/>
  <dc:description/>
  <cp:lastModifiedBy>周 荣华</cp:lastModifiedBy>
  <cp:revision>22</cp:revision>
  <dcterms:created xsi:type="dcterms:W3CDTF">2021-10-29T12:05:00Z</dcterms:created>
  <dcterms:modified xsi:type="dcterms:W3CDTF">2022-02-24T11:02:00Z</dcterms:modified>
</cp:coreProperties>
</file>